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6023"/>
        </w:tabs>
        <w:spacing w:after="60" w:before="60" w:line="276" w:lineRule="auto"/>
        <w:jc w:val="center"/>
        <w:rPr>
          <w:rFonts w:ascii="Titillium" w:cs="Titillium" w:eastAsia="Titillium" w:hAnsi="Titillium"/>
          <w:b w:val="1"/>
          <w:sz w:val="32"/>
          <w:szCs w:val="32"/>
        </w:rPr>
      </w:pPr>
      <w:r w:rsidDel="00000000" w:rsidR="00000000" w:rsidRPr="00000000">
        <w:rPr>
          <w:rtl w:val="0"/>
        </w:rPr>
      </w:r>
    </w:p>
    <w:p w:rsidR="00000000" w:rsidDel="00000000" w:rsidP="00000000" w:rsidRDefault="00000000" w:rsidRPr="00000000" w14:paraId="00000002">
      <w:pPr>
        <w:tabs>
          <w:tab w:val="left" w:leader="none" w:pos="6023"/>
        </w:tabs>
        <w:spacing w:after="60" w:before="60" w:line="276" w:lineRule="auto"/>
        <w:jc w:val="center"/>
        <w:rPr>
          <w:rFonts w:ascii="Titillium" w:cs="Titillium" w:eastAsia="Titillium" w:hAnsi="Titillium"/>
          <w:b w:val="1"/>
          <w:sz w:val="32"/>
          <w:szCs w:val="32"/>
        </w:rPr>
      </w:pPr>
      <w:r w:rsidDel="00000000" w:rsidR="00000000" w:rsidRPr="00000000">
        <w:rPr>
          <w:rtl w:val="0"/>
        </w:rPr>
      </w:r>
    </w:p>
    <w:p w:rsidR="00000000" w:rsidDel="00000000" w:rsidP="00000000" w:rsidRDefault="00000000" w:rsidRPr="00000000" w14:paraId="00000003">
      <w:pPr>
        <w:tabs>
          <w:tab w:val="left" w:leader="none" w:pos="6023"/>
        </w:tabs>
        <w:spacing w:after="60" w:before="60" w:line="276" w:lineRule="auto"/>
        <w:jc w:val="center"/>
        <w:rPr>
          <w:rFonts w:ascii="Titillium" w:cs="Titillium" w:eastAsia="Titillium" w:hAnsi="Titillium"/>
          <w:b w:val="1"/>
          <w:sz w:val="32"/>
          <w:szCs w:val="32"/>
        </w:rPr>
      </w:pPr>
      <w:r w:rsidDel="00000000" w:rsidR="00000000" w:rsidRPr="00000000">
        <w:rPr>
          <w:rFonts w:ascii="Titillium" w:cs="Titillium" w:eastAsia="Titillium" w:hAnsi="Titillium"/>
          <w:b w:val="1"/>
          <w:sz w:val="32"/>
          <w:szCs w:val="32"/>
          <w:rtl w:val="0"/>
        </w:rPr>
        <w:t xml:space="preserve">DISCIPLINARE DI GARA</w:t>
      </w:r>
    </w:p>
    <w:p w:rsidR="00000000" w:rsidDel="00000000" w:rsidP="00000000" w:rsidRDefault="00000000" w:rsidRPr="00000000" w14:paraId="00000004">
      <w:pPr>
        <w:ind w:left="567" w:firstLine="0"/>
        <w:jc w:val="center"/>
        <w:rPr>
          <w:rFonts w:ascii="Titillium" w:cs="Titillium" w:eastAsia="Titillium" w:hAnsi="Titillium"/>
          <w:b w:val="1"/>
          <w:sz w:val="16"/>
          <w:szCs w:val="16"/>
        </w:rPr>
      </w:pPr>
      <w:r w:rsidDel="00000000" w:rsidR="00000000" w:rsidRPr="00000000">
        <w:rPr>
          <w:rtl w:val="0"/>
        </w:rPr>
      </w:r>
    </w:p>
    <w:p w:rsidR="00000000" w:rsidDel="00000000" w:rsidP="00000000" w:rsidRDefault="00000000" w:rsidRPr="00000000" w14:paraId="00000005">
      <w:pPr>
        <w:ind w:left="567" w:firstLine="0"/>
        <w:jc w:val="both"/>
        <w:rPr>
          <w:rFonts w:ascii="Titillium" w:cs="Titillium" w:eastAsia="Titillium" w:hAnsi="Titillium"/>
          <w:b w:val="1"/>
        </w:rPr>
      </w:pPr>
      <w:r w:rsidDel="00000000" w:rsidR="00000000" w:rsidRPr="00000000">
        <w:rPr>
          <w:rtl w:val="0"/>
        </w:rPr>
      </w:r>
    </w:p>
    <w:p w:rsidR="00000000" w:rsidDel="00000000" w:rsidP="00000000" w:rsidRDefault="00000000" w:rsidRPr="00000000" w14:paraId="00000006">
      <w:pPr>
        <w:ind w:left="567" w:firstLine="0"/>
        <w:jc w:val="center"/>
        <w:rPr>
          <w:rFonts w:ascii="Titillium" w:cs="Titillium" w:eastAsia="Titillium" w:hAnsi="Titillium"/>
        </w:rPr>
      </w:pPr>
      <w:bookmarkStart w:colFirst="0" w:colLast="0" w:name="_heading=h.gjdgxs" w:id="0"/>
      <w:bookmarkEnd w:id="0"/>
      <w:r w:rsidDel="00000000" w:rsidR="00000000" w:rsidRPr="00000000">
        <w:rPr>
          <w:rFonts w:ascii="Titillium" w:cs="Titillium" w:eastAsia="Titillium" w:hAnsi="Titillium"/>
          <w:rtl w:val="0"/>
        </w:rPr>
        <w:t xml:space="preserve">PROCEDURA TELEMATICA APERTA PER “ LA FORNITURA DEI MATERIALI ELETTRICI  PER L’ADEGUAMENTO DEGLI IMPIANTI DI MEDIA E BASSA TENSIONE AI SENSI DELL’ART. 71 DEL D.LGS 36/2023”</w:t>
      </w:r>
    </w:p>
    <w:p w:rsidR="00000000" w:rsidDel="00000000" w:rsidP="00000000" w:rsidRDefault="00000000" w:rsidRPr="00000000" w14:paraId="00000007">
      <w:pPr>
        <w:ind w:left="567" w:firstLine="0"/>
        <w:jc w:val="center"/>
        <w:rPr>
          <w:rFonts w:ascii="Titillium" w:cs="Titillium" w:eastAsia="Titillium" w:hAnsi="Titillium"/>
          <w:b w:val="1"/>
        </w:rPr>
      </w:pPr>
      <w:r w:rsidDel="00000000" w:rsidR="00000000" w:rsidRPr="00000000">
        <w:rPr>
          <w:rFonts w:ascii="Titillium" w:cs="Titillium" w:eastAsia="Titillium" w:hAnsi="Titillium"/>
          <w:rtl w:val="0"/>
        </w:rPr>
        <w:t xml:space="preserve">per un importo complessivo di </w:t>
      </w:r>
      <w:r w:rsidDel="00000000" w:rsidR="00000000" w:rsidRPr="00000000">
        <w:rPr>
          <w:rFonts w:ascii="Titillium" w:cs="Titillium" w:eastAsia="Titillium" w:hAnsi="Titillium"/>
          <w:b w:val="1"/>
          <w:rtl w:val="0"/>
        </w:rPr>
        <w:t xml:space="preserve">€ 730.000,00 </w:t>
      </w:r>
      <w:r w:rsidDel="00000000" w:rsidR="00000000" w:rsidRPr="00000000">
        <w:rPr>
          <w:rFonts w:ascii="Titillium" w:cs="Titillium" w:eastAsia="Titillium" w:hAnsi="Titillium"/>
          <w:rtl w:val="0"/>
        </w:rPr>
        <w:t xml:space="preserve">oltre iva</w:t>
      </w:r>
      <w:r w:rsidDel="00000000" w:rsidR="00000000" w:rsidRPr="00000000">
        <w:rPr>
          <w:rtl w:val="0"/>
        </w:rPr>
      </w:r>
    </w:p>
    <w:p w:rsidR="00000000" w:rsidDel="00000000" w:rsidP="00000000" w:rsidRDefault="00000000" w:rsidRPr="00000000" w14:paraId="00000008">
      <w:pPr>
        <w:ind w:left="567" w:firstLine="0"/>
        <w:jc w:val="center"/>
        <w:rPr>
          <w:rFonts w:ascii="Titillium" w:cs="Titillium" w:eastAsia="Titillium" w:hAnsi="Titillium"/>
        </w:rPr>
      </w:pPr>
      <w:bookmarkStart w:colFirst="0" w:colLast="0" w:name="_heading=h.4p7rucrmqm6c" w:id="1"/>
      <w:bookmarkEnd w:id="1"/>
      <w:r w:rsidDel="00000000" w:rsidR="00000000" w:rsidRPr="00000000">
        <w:rPr>
          <w:rFonts w:ascii="Titillium" w:cs="Titillium" w:eastAsia="Titillium" w:hAnsi="Titillium"/>
          <w:b w:val="1"/>
          <w:rtl w:val="0"/>
        </w:rPr>
        <w:t xml:space="preserve"> </w:t>
      </w:r>
      <w:r w:rsidDel="00000000" w:rsidR="00000000" w:rsidRPr="00000000">
        <w:rPr>
          <w:rFonts w:ascii="Titillium" w:cs="Titillium" w:eastAsia="Titillium" w:hAnsi="Titillium"/>
          <w:rtl w:val="0"/>
        </w:rPr>
        <w:t xml:space="preserve">con il criterio dell’offerta economicamente più vantaggiosa </w:t>
      </w:r>
    </w:p>
    <w:p w:rsidR="00000000" w:rsidDel="00000000" w:rsidP="00000000" w:rsidRDefault="00000000" w:rsidRPr="00000000" w14:paraId="00000009">
      <w:pPr>
        <w:ind w:left="567" w:firstLine="0"/>
        <w:jc w:val="center"/>
        <w:rPr>
          <w:rFonts w:ascii="Titillium" w:cs="Titillium" w:eastAsia="Titillium" w:hAnsi="Titillium"/>
        </w:rPr>
      </w:pPr>
      <w:r w:rsidDel="00000000" w:rsidR="00000000" w:rsidRPr="00000000">
        <w:rPr>
          <w:rFonts w:ascii="Titillium" w:cs="Titillium" w:eastAsia="Titillium" w:hAnsi="Titillium"/>
          <w:rtl w:val="0"/>
        </w:rPr>
        <w:t xml:space="preserve">sulla base del miglior rapporto qualità/prezzo</w:t>
      </w:r>
    </w:p>
    <w:p w:rsidR="00000000" w:rsidDel="00000000" w:rsidP="00000000" w:rsidRDefault="00000000" w:rsidRPr="00000000" w14:paraId="0000000A">
      <w:pPr>
        <w:ind w:left="567" w:firstLine="0"/>
        <w:jc w:val="center"/>
        <w:rPr>
          <w:rFonts w:ascii="Titillium" w:cs="Titillium" w:eastAsia="Titillium" w:hAnsi="Titillium"/>
        </w:rPr>
      </w:pPr>
      <w:r w:rsidDel="00000000" w:rsidR="00000000" w:rsidRPr="00000000">
        <w:rPr>
          <w:rtl w:val="0"/>
        </w:rPr>
      </w:r>
    </w:p>
    <w:p w:rsidR="00000000" w:rsidDel="00000000" w:rsidP="00000000" w:rsidRDefault="00000000" w:rsidRPr="00000000" w14:paraId="0000000B">
      <w:pPr>
        <w:ind w:left="567" w:firstLine="0"/>
        <w:jc w:val="center"/>
        <w:rPr>
          <w:rFonts w:ascii="Titillium" w:cs="Titillium" w:eastAsia="Titillium" w:hAnsi="Titillium"/>
        </w:rPr>
      </w:pPr>
      <w:bookmarkStart w:colFirst="0" w:colLast="0" w:name="_heading=h.1fob9te" w:id="2"/>
      <w:bookmarkEnd w:id="2"/>
      <w:r w:rsidDel="00000000" w:rsidR="00000000" w:rsidRPr="00000000">
        <w:rPr>
          <w:rFonts w:ascii="Titillium" w:cs="Titillium" w:eastAsia="Titillium" w:hAnsi="Titillium"/>
          <w:b w:val="1"/>
          <w:rtl w:val="0"/>
        </w:rPr>
        <w:t xml:space="preserve">Stazione appaltante e soggetto attuatore Sidra SpA</w:t>
      </w:r>
      <w:r w:rsidDel="00000000" w:rsidR="00000000" w:rsidRPr="00000000">
        <w:rPr>
          <w:rtl w:val="0"/>
        </w:rPr>
      </w:r>
    </w:p>
    <w:p w:rsidR="00000000" w:rsidDel="00000000" w:rsidP="00000000" w:rsidRDefault="00000000" w:rsidRPr="00000000" w14:paraId="0000000C">
      <w:pPr>
        <w:ind w:left="567" w:firstLine="0"/>
        <w:jc w:val="center"/>
        <w:rPr>
          <w:rFonts w:ascii="Titillium" w:cs="Titillium" w:eastAsia="Titillium" w:hAnsi="Titillium"/>
        </w:rPr>
      </w:pPr>
      <w:r w:rsidDel="00000000" w:rsidR="00000000" w:rsidRPr="00000000">
        <w:rPr>
          <w:rtl w:val="0"/>
        </w:rPr>
      </w:r>
    </w:p>
    <w:p w:rsidR="00000000" w:rsidDel="00000000" w:rsidP="00000000" w:rsidRDefault="00000000" w:rsidRPr="00000000" w14:paraId="0000000D">
      <w:pPr>
        <w:ind w:left="567" w:firstLine="0"/>
        <w:jc w:val="center"/>
        <w:rPr>
          <w:rFonts w:ascii="Titillium" w:cs="Titillium" w:eastAsia="Titillium" w:hAnsi="Titillium"/>
        </w:rPr>
      </w:pPr>
      <w:r w:rsidDel="00000000" w:rsidR="00000000" w:rsidRPr="00000000">
        <w:rPr>
          <w:rtl w:val="0"/>
        </w:rPr>
      </w:r>
    </w:p>
    <w:p w:rsidR="00000000" w:rsidDel="00000000" w:rsidP="00000000" w:rsidRDefault="00000000" w:rsidRPr="00000000" w14:paraId="0000000E">
      <w:pPr>
        <w:ind w:left="567" w:firstLine="0"/>
        <w:jc w:val="center"/>
        <w:rPr>
          <w:rFonts w:ascii="Titillium" w:cs="Titillium" w:eastAsia="Titillium" w:hAnsi="Titillium"/>
          <w:b w:val="1"/>
          <w:sz w:val="26"/>
          <w:szCs w:val="26"/>
        </w:rPr>
      </w:pPr>
      <w:r w:rsidDel="00000000" w:rsidR="00000000" w:rsidRPr="00000000">
        <w:rPr>
          <w:rFonts w:ascii="Titillium" w:cs="Titillium" w:eastAsia="Titillium" w:hAnsi="Titillium"/>
          <w:b w:val="1"/>
          <w:rtl w:val="0"/>
        </w:rPr>
        <w:t xml:space="preserve">CIG </w:t>
      </w:r>
      <w:r w:rsidDel="00000000" w:rsidR="00000000" w:rsidRPr="00000000">
        <w:rPr>
          <w:rFonts w:ascii="Roboto" w:cs="Roboto" w:eastAsia="Roboto" w:hAnsi="Roboto"/>
          <w:b w:val="1"/>
          <w:color w:val="222a44"/>
          <w:sz w:val="26"/>
          <w:szCs w:val="26"/>
          <w:shd w:fill="f9f9f9" w:val="clear"/>
          <w:rtl w:val="0"/>
        </w:rPr>
        <w:t xml:space="preserve">B11717222C</w:t>
      </w:r>
      <w:r w:rsidDel="00000000" w:rsidR="00000000" w:rsidRPr="00000000">
        <w:rPr>
          <w:rtl w:val="0"/>
        </w:rPr>
      </w:r>
    </w:p>
    <w:p w:rsidR="00000000" w:rsidDel="00000000" w:rsidP="00000000" w:rsidRDefault="00000000" w:rsidRPr="00000000" w14:paraId="0000000F">
      <w:pPr>
        <w:ind w:left="567" w:firstLine="0"/>
        <w:jc w:val="center"/>
        <w:rPr>
          <w:rFonts w:ascii="Titillium" w:cs="Titillium" w:eastAsia="Titillium" w:hAnsi="Titillium"/>
        </w:rPr>
      </w:pPr>
      <w:r w:rsidDel="00000000" w:rsidR="00000000" w:rsidRPr="00000000">
        <w:rPr>
          <w:rtl w:val="0"/>
        </w:rPr>
      </w:r>
    </w:p>
    <w:p w:rsidR="00000000" w:rsidDel="00000000" w:rsidP="00000000" w:rsidRDefault="00000000" w:rsidRPr="00000000" w14:paraId="00000010">
      <w:pPr>
        <w:ind w:left="567" w:firstLine="0"/>
        <w:jc w:val="center"/>
        <w:rPr>
          <w:rFonts w:ascii="Titillium" w:cs="Titillium" w:eastAsia="Titillium" w:hAnsi="Titillium"/>
        </w:rPr>
      </w:pPr>
      <w:r w:rsidDel="00000000" w:rsidR="00000000" w:rsidRPr="00000000">
        <w:rPr>
          <w:rtl w:val="0"/>
        </w:rPr>
      </w:r>
    </w:p>
    <w:p w:rsidR="00000000" w:rsidDel="00000000" w:rsidP="00000000" w:rsidRDefault="00000000" w:rsidRPr="00000000" w14:paraId="00000011">
      <w:pPr>
        <w:spacing w:after="60" w:before="60" w:line="276" w:lineRule="auto"/>
        <w:ind w:left="567" w:firstLine="0"/>
        <w:jc w:val="both"/>
        <w:rPr>
          <w:rFonts w:ascii="Titillium" w:cs="Titillium" w:eastAsia="Titillium" w:hAnsi="Titillium"/>
          <w:b w:val="1"/>
          <w:sz w:val="36"/>
          <w:szCs w:val="36"/>
        </w:rPr>
      </w:pPr>
      <w:r w:rsidDel="00000000" w:rsidR="00000000" w:rsidRPr="00000000">
        <w:rPr>
          <w:rtl w:val="0"/>
        </w:rPr>
      </w:r>
    </w:p>
    <w:p w:rsidR="00000000" w:rsidDel="00000000" w:rsidP="00000000" w:rsidRDefault="00000000" w:rsidRPr="00000000" w14:paraId="00000012">
      <w:pPr>
        <w:spacing w:after="60" w:before="60" w:line="276" w:lineRule="auto"/>
        <w:jc w:val="both"/>
        <w:rPr>
          <w:rFonts w:ascii="Titillium" w:cs="Titillium" w:eastAsia="Titillium" w:hAnsi="Titillium"/>
          <w:b w:val="1"/>
          <w:sz w:val="36"/>
          <w:szCs w:val="36"/>
        </w:rPr>
      </w:pPr>
      <w:r w:rsidDel="00000000" w:rsidR="00000000" w:rsidRPr="00000000">
        <w:rPr>
          <w:rtl w:val="0"/>
        </w:rPr>
      </w:r>
    </w:p>
    <w:p w:rsidR="00000000" w:rsidDel="00000000" w:rsidP="00000000" w:rsidRDefault="00000000" w:rsidRPr="00000000" w14:paraId="00000013">
      <w:pPr>
        <w:widowControl w:val="1"/>
        <w:rPr>
          <w:rFonts w:ascii="Titillium" w:cs="Titillium" w:eastAsia="Titillium" w:hAnsi="Titillium"/>
          <w:b w:val="1"/>
        </w:rPr>
      </w:pPr>
      <w:r w:rsidDel="00000000" w:rsidR="00000000" w:rsidRPr="00000000">
        <w:rPr>
          <w:rtl w:val="0"/>
        </w:rPr>
      </w:r>
    </w:p>
    <w:p w:rsidR="00000000" w:rsidDel="00000000" w:rsidP="00000000" w:rsidRDefault="00000000" w:rsidRPr="00000000" w14:paraId="00000014">
      <w:pPr>
        <w:widowControl w:val="1"/>
        <w:rPr>
          <w:rFonts w:ascii="Titillium" w:cs="Titillium" w:eastAsia="Titillium" w:hAnsi="Titillium"/>
          <w:b w:val="1"/>
        </w:rPr>
      </w:pPr>
      <w:r w:rsidDel="00000000" w:rsidR="00000000" w:rsidRPr="00000000">
        <w:rPr>
          <w:rtl w:val="0"/>
        </w:rPr>
      </w:r>
    </w:p>
    <w:p w:rsidR="00000000" w:rsidDel="00000000" w:rsidP="00000000" w:rsidRDefault="00000000" w:rsidRPr="00000000" w14:paraId="00000015">
      <w:pPr>
        <w:widowControl w:val="1"/>
        <w:rPr>
          <w:rFonts w:ascii="Titillium" w:cs="Titillium" w:eastAsia="Titillium" w:hAnsi="Titillium"/>
          <w:b w:val="1"/>
        </w:rPr>
      </w:pPr>
      <w:r w:rsidDel="00000000" w:rsidR="00000000" w:rsidRPr="00000000">
        <w:rPr>
          <w:rtl w:val="0"/>
        </w:rPr>
      </w:r>
    </w:p>
    <w:p w:rsidR="00000000" w:rsidDel="00000000" w:rsidP="00000000" w:rsidRDefault="00000000" w:rsidRPr="00000000" w14:paraId="00000016">
      <w:pPr>
        <w:widowControl w:val="1"/>
        <w:rPr>
          <w:rFonts w:ascii="Titillium" w:cs="Titillium" w:eastAsia="Titillium" w:hAnsi="Titillium"/>
          <w:b w:val="1"/>
        </w:rPr>
      </w:pPr>
      <w:r w:rsidDel="00000000" w:rsidR="00000000" w:rsidRPr="00000000">
        <w:rPr>
          <w:rtl w:val="0"/>
        </w:rPr>
      </w:r>
    </w:p>
    <w:p w:rsidR="00000000" w:rsidDel="00000000" w:rsidP="00000000" w:rsidRDefault="00000000" w:rsidRPr="00000000" w14:paraId="00000017">
      <w:pPr>
        <w:widowControl w:val="1"/>
        <w:rPr>
          <w:rFonts w:ascii="Titillium" w:cs="Titillium" w:eastAsia="Titillium" w:hAnsi="Titillium"/>
          <w:b w:val="1"/>
        </w:rPr>
      </w:pPr>
      <w:r w:rsidDel="00000000" w:rsidR="00000000" w:rsidRPr="00000000">
        <w:rPr>
          <w:rtl w:val="0"/>
        </w:rPr>
      </w:r>
    </w:p>
    <w:p w:rsidR="00000000" w:rsidDel="00000000" w:rsidP="00000000" w:rsidRDefault="00000000" w:rsidRPr="00000000" w14:paraId="00000018">
      <w:pPr>
        <w:widowControl w:val="1"/>
        <w:rPr>
          <w:rFonts w:ascii="Titillium" w:cs="Titillium" w:eastAsia="Titillium" w:hAnsi="Titillium"/>
          <w:b w:val="1"/>
        </w:rPr>
      </w:pPr>
      <w:r w:rsidDel="00000000" w:rsidR="00000000" w:rsidRPr="00000000">
        <w:rPr>
          <w:rtl w:val="0"/>
        </w:rPr>
      </w:r>
    </w:p>
    <w:p w:rsidR="00000000" w:rsidDel="00000000" w:rsidP="00000000" w:rsidRDefault="00000000" w:rsidRPr="00000000" w14:paraId="00000019">
      <w:pPr>
        <w:widowControl w:val="1"/>
        <w:rPr>
          <w:rFonts w:ascii="Titillium" w:cs="Titillium" w:eastAsia="Titillium" w:hAnsi="Titillium"/>
          <w:b w:val="1"/>
        </w:rPr>
      </w:pPr>
      <w:r w:rsidDel="00000000" w:rsidR="00000000" w:rsidRPr="00000000">
        <w:rPr>
          <w:rtl w:val="0"/>
        </w:rPr>
      </w:r>
    </w:p>
    <w:p w:rsidR="00000000" w:rsidDel="00000000" w:rsidP="00000000" w:rsidRDefault="00000000" w:rsidRPr="00000000" w14:paraId="0000001A">
      <w:pPr>
        <w:widowControl w:val="1"/>
        <w:rPr>
          <w:rFonts w:ascii="Titillium" w:cs="Titillium" w:eastAsia="Titillium" w:hAnsi="Titillium"/>
          <w:b w:val="1"/>
        </w:rPr>
      </w:pPr>
      <w:r w:rsidDel="00000000" w:rsidR="00000000" w:rsidRPr="00000000">
        <w:rPr>
          <w:rtl w:val="0"/>
        </w:rPr>
      </w:r>
    </w:p>
    <w:p w:rsidR="00000000" w:rsidDel="00000000" w:rsidP="00000000" w:rsidRDefault="00000000" w:rsidRPr="00000000" w14:paraId="0000001B">
      <w:pPr>
        <w:keepNext w:val="1"/>
        <w:keepLines w:val="1"/>
        <w:widowControl w:val="1"/>
        <w:pBdr>
          <w:top w:space="0" w:sz="0" w:val="nil"/>
          <w:left w:space="0" w:sz="0" w:val="nil"/>
          <w:bottom w:space="0" w:sz="0" w:val="nil"/>
          <w:right w:space="0" w:sz="0" w:val="nil"/>
          <w:between w:space="0" w:sz="0" w:val="nil"/>
        </w:pBdr>
        <w:spacing w:after="280" w:before="280" w:line="276" w:lineRule="auto"/>
        <w:rPr>
          <w:rFonts w:ascii="Titillium" w:cs="Titillium" w:eastAsia="Titillium" w:hAnsi="Titillium"/>
          <w:b w:val="1"/>
          <w:color w:val="000000"/>
          <w:sz w:val="28"/>
          <w:szCs w:val="28"/>
        </w:rPr>
      </w:pPr>
      <w:bookmarkStart w:colFirst="0" w:colLast="0" w:name="_heading=h.3znysh7" w:id="3"/>
      <w:bookmarkEnd w:id="3"/>
      <w:r w:rsidDel="00000000" w:rsidR="00000000" w:rsidRPr="00000000">
        <w:rPr>
          <w:rtl w:val="0"/>
        </w:rPr>
      </w:r>
    </w:p>
    <w:p w:rsidR="00000000" w:rsidDel="00000000" w:rsidP="00000000" w:rsidRDefault="00000000" w:rsidRPr="00000000" w14:paraId="0000001C">
      <w:pPr>
        <w:keepNext w:val="1"/>
        <w:keepLines w:val="1"/>
        <w:widowControl w:val="1"/>
        <w:pBdr>
          <w:top w:space="0" w:sz="0" w:val="nil"/>
          <w:left w:space="0" w:sz="0" w:val="nil"/>
          <w:bottom w:space="0" w:sz="0" w:val="nil"/>
          <w:right w:space="0" w:sz="0" w:val="nil"/>
          <w:between w:space="0" w:sz="0" w:val="nil"/>
        </w:pBdr>
        <w:spacing w:after="280" w:before="280" w:line="276" w:lineRule="auto"/>
        <w:rPr>
          <w:rFonts w:ascii="Titillium" w:cs="Titillium" w:eastAsia="Titillium" w:hAnsi="Titillium"/>
          <w:b w:val="1"/>
          <w:color w:val="000000"/>
          <w:sz w:val="28"/>
          <w:szCs w:val="28"/>
        </w:rPr>
      </w:pPr>
      <w:r w:rsidDel="00000000" w:rsidR="00000000" w:rsidRPr="00000000">
        <w:rPr>
          <w:rtl w:val="0"/>
        </w:rPr>
      </w:r>
    </w:p>
    <w:p w:rsidR="00000000" w:rsidDel="00000000" w:rsidP="00000000" w:rsidRDefault="00000000" w:rsidRPr="00000000" w14:paraId="0000001D">
      <w:pPr>
        <w:keepNext w:val="1"/>
        <w:keepLines w:val="1"/>
        <w:widowControl w:val="1"/>
        <w:pBdr>
          <w:top w:space="0" w:sz="0" w:val="nil"/>
          <w:left w:space="0" w:sz="0" w:val="nil"/>
          <w:bottom w:space="0" w:sz="0" w:val="nil"/>
          <w:right w:space="0" w:sz="0" w:val="nil"/>
          <w:between w:space="0" w:sz="0" w:val="nil"/>
        </w:pBdr>
        <w:spacing w:after="280" w:before="280" w:line="276" w:lineRule="auto"/>
        <w:rPr>
          <w:rFonts w:ascii="Titillium" w:cs="Titillium" w:eastAsia="Titillium" w:hAnsi="Titillium"/>
          <w:b w:val="1"/>
          <w:color w:val="000000"/>
          <w:sz w:val="28"/>
          <w:szCs w:val="28"/>
        </w:rPr>
      </w:pPr>
      <w:r w:rsidDel="00000000" w:rsidR="00000000" w:rsidRPr="00000000">
        <w:rPr>
          <w:rtl w:val="0"/>
        </w:rPr>
      </w:r>
    </w:p>
    <w:p w:rsidR="00000000" w:rsidDel="00000000" w:rsidP="00000000" w:rsidRDefault="00000000" w:rsidRPr="00000000" w14:paraId="0000001E">
      <w:pPr>
        <w:keepNext w:val="1"/>
        <w:keepLines w:val="1"/>
        <w:widowControl w:val="1"/>
        <w:pBdr>
          <w:top w:space="0" w:sz="0" w:val="nil"/>
          <w:left w:space="0" w:sz="0" w:val="nil"/>
          <w:bottom w:space="0" w:sz="0" w:val="nil"/>
          <w:right w:space="0" w:sz="0" w:val="nil"/>
          <w:between w:space="0" w:sz="0" w:val="nil"/>
        </w:pBdr>
        <w:spacing w:after="280" w:before="280" w:line="276" w:lineRule="auto"/>
        <w:rPr>
          <w:rFonts w:ascii="Titillium" w:cs="Titillium" w:eastAsia="Titillium" w:hAnsi="Titillium"/>
          <w:b w:val="1"/>
          <w:color w:val="000000"/>
          <w:sz w:val="28"/>
          <w:szCs w:val="28"/>
        </w:rPr>
      </w:pPr>
      <w:r w:rsidDel="00000000" w:rsidR="00000000" w:rsidRPr="00000000">
        <w:rPr>
          <w:rtl w:val="0"/>
        </w:rPr>
      </w:r>
    </w:p>
    <w:p w:rsidR="00000000" w:rsidDel="00000000" w:rsidP="00000000" w:rsidRDefault="00000000" w:rsidRPr="00000000" w14:paraId="0000001F">
      <w:pPr>
        <w:keepNext w:val="1"/>
        <w:keepLines w:val="1"/>
        <w:widowControl w:val="1"/>
        <w:pBdr>
          <w:top w:space="0" w:sz="0" w:val="nil"/>
          <w:left w:space="0" w:sz="0" w:val="nil"/>
          <w:bottom w:space="0" w:sz="0" w:val="nil"/>
          <w:right w:space="0" w:sz="0" w:val="nil"/>
          <w:between w:space="0" w:sz="0" w:val="nil"/>
        </w:pBdr>
        <w:spacing w:after="280" w:before="280" w:line="276" w:lineRule="auto"/>
        <w:rPr>
          <w:rFonts w:ascii="Titillium" w:cs="Titillium" w:eastAsia="Titillium" w:hAnsi="Titillium"/>
          <w:b w:val="1"/>
          <w:color w:val="000000"/>
          <w:sz w:val="28"/>
          <w:szCs w:val="28"/>
        </w:rPr>
      </w:pPr>
      <w:r w:rsidDel="00000000" w:rsidR="00000000" w:rsidRPr="00000000">
        <w:rPr>
          <w:rFonts w:ascii="Titillium" w:cs="Titillium" w:eastAsia="Titillium" w:hAnsi="Titillium"/>
          <w:b w:val="1"/>
          <w:color w:val="000000"/>
          <w:sz w:val="28"/>
          <w:szCs w:val="28"/>
          <w:rtl w:val="0"/>
        </w:rPr>
        <w:t xml:space="preserve">Sommar</w:t>
      </w:r>
      <w:r w:rsidDel="00000000" w:rsidR="00000000" w:rsidRPr="00000000">
        <w:rPr>
          <w:rFonts w:ascii="Titillium" w:cs="Titillium" w:eastAsia="Titillium" w:hAnsi="Titillium"/>
          <w:b w:val="1"/>
          <w:sz w:val="28"/>
          <w:szCs w:val="28"/>
          <w:rtl w:val="0"/>
        </w:rPr>
        <w:t xml:space="preserve">io</w:t>
      </w:r>
      <w:r w:rsidDel="00000000" w:rsidR="00000000" w:rsidRPr="00000000">
        <w:rPr>
          <w:rtl w:val="0"/>
        </w:rPr>
      </w:r>
    </w:p>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tabs>
          <w:tab w:val="left" w:leader="none" w:pos="284"/>
          <w:tab w:val="right" w:leader="none" w:pos="9629"/>
        </w:tabs>
        <w:spacing w:line="276" w:lineRule="auto"/>
        <w:rPr>
          <w:rFonts w:ascii="Arial" w:cs="Arial" w:eastAsia="Arial" w:hAnsi="Arial"/>
          <w:color w:val="000000"/>
          <w:sz w:val="22"/>
          <w:szCs w:val="2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tabs>
              <w:tab w:val="left" w:leader="none" w:pos="284"/>
              <w:tab w:val="right" w:leader="none" w:pos="9629"/>
            </w:tabs>
            <w:spacing w:line="276" w:lineRule="auto"/>
            <w:rPr>
              <w:rFonts w:ascii="Arial" w:cs="Arial" w:eastAsia="Arial" w:hAnsi="Arial"/>
              <w:color w:val="000000"/>
              <w:sz w:val="22"/>
              <w:szCs w:val="22"/>
            </w:rPr>
          </w:pPr>
          <w:r w:rsidDel="00000000" w:rsidR="00000000" w:rsidRPr="00000000">
            <w:fldChar w:fldCharType="begin"/>
            <w:instrText xml:space="preserve"> TOC \h \u \z \t "Heading 1,1,Heading 2,2,Heading 3,3,"</w:instrText>
            <w:fldChar w:fldCharType="separate"/>
          </w:r>
          <w:hyperlink w:anchor="_heading=h.3znysh7">
            <w:r w:rsidDel="00000000" w:rsidR="00000000" w:rsidRPr="00000000">
              <w:rPr>
                <w:rFonts w:ascii="Titillium" w:cs="Titillium" w:eastAsia="Titillium" w:hAnsi="Titillium"/>
                <w:color w:val="000000"/>
                <w:sz w:val="20"/>
                <w:szCs w:val="20"/>
                <w:rtl w:val="0"/>
              </w:rPr>
              <w:t xml:space="preserve">Sommario</w:t>
            </w:r>
          </w:hyperlink>
          <w:hyperlink w:anchor="_heading=h.3znysh7">
            <w:r w:rsidDel="00000000" w:rsidR="00000000" w:rsidRPr="00000000">
              <w:rPr>
                <w:rFonts w:ascii="Garamond" w:cs="Garamond" w:eastAsia="Garamond" w:hAnsi="Garamond"/>
                <w:color w:val="000000"/>
                <w:sz w:val="20"/>
                <w:szCs w:val="20"/>
                <w:rtl w:val="0"/>
              </w:rPr>
              <w:tab/>
              <w:t xml:space="preserve">2</w:t>
            </w:r>
          </w:hyperlink>
          <w:r w:rsidDel="00000000" w:rsidR="00000000" w:rsidRPr="00000000">
            <w:rPr>
              <w:rtl w:val="0"/>
            </w:rPr>
          </w:r>
        </w:p>
        <w:p w:rsidR="00000000" w:rsidDel="00000000" w:rsidP="00000000" w:rsidRDefault="00000000" w:rsidRPr="00000000" w14:paraId="00000022">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hyperlink w:anchor="_heading=h.2et92p0">
            <w:r w:rsidDel="00000000" w:rsidR="00000000" w:rsidRPr="00000000">
              <w:rPr>
                <w:rFonts w:ascii="Titillium" w:cs="Titillium" w:eastAsia="Titillium" w:hAnsi="Titillium"/>
                <w:b w:val="1"/>
                <w:smallCaps w:val="1"/>
                <w:color w:val="000000"/>
                <w:sz w:val="20"/>
                <w:szCs w:val="20"/>
                <w:rtl w:val="0"/>
              </w:rPr>
              <w:t xml:space="preserve">PREMESSE</w:t>
            </w:r>
          </w:hyperlink>
          <w:hyperlink w:anchor="_heading=h.2et92p0">
            <w:r w:rsidDel="00000000" w:rsidR="00000000" w:rsidRPr="00000000">
              <w:rPr>
                <w:rFonts w:ascii="Garamond" w:cs="Garamond" w:eastAsia="Garamond" w:hAnsi="Garamond"/>
                <w:smallCaps w:val="1"/>
                <w:color w:val="000000"/>
                <w:sz w:val="20"/>
                <w:szCs w:val="20"/>
                <w:rtl w:val="0"/>
              </w:rPr>
              <w:tab/>
              <w:t xml:space="preserve">4</w:t>
            </w:r>
          </w:hyperlink>
          <w:r w:rsidDel="00000000" w:rsidR="00000000" w:rsidRPr="00000000">
            <w:rPr>
              <w:rtl w:val="0"/>
            </w:rPr>
          </w:r>
        </w:p>
        <w:p w:rsidR="00000000" w:rsidDel="00000000" w:rsidP="00000000" w:rsidRDefault="00000000" w:rsidRPr="00000000" w14:paraId="00000023">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hyperlink w:anchor="_heading=h.3dy6vkm">
            <w:r w:rsidDel="00000000" w:rsidR="00000000" w:rsidRPr="00000000">
              <w:rPr>
                <w:rFonts w:ascii="Titillium" w:cs="Titillium" w:eastAsia="Titillium" w:hAnsi="Titillium"/>
                <w:b w:val="1"/>
                <w:smallCaps w:val="1"/>
                <w:color w:val="000000"/>
                <w:sz w:val="20"/>
                <w:szCs w:val="20"/>
                <w:rtl w:val="0"/>
              </w:rPr>
              <w:t xml:space="preserve">1.</w:t>
            </w:r>
          </w:hyperlink>
          <w:hyperlink w:anchor="_heading=h.3dy6vkm">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tillium" w:cs="Titillium" w:eastAsia="Titillium" w:hAnsi="Titillium"/>
              <w:b w:val="1"/>
              <w:smallCaps w:val="1"/>
              <w:color w:val="000000"/>
              <w:sz w:val="20"/>
              <w:szCs w:val="20"/>
              <w:rtl w:val="0"/>
            </w:rPr>
            <w:t xml:space="preserve">PIATTAFORMA TELEMATICA</w:t>
          </w:r>
          <w:r w:rsidDel="00000000" w:rsidR="00000000" w:rsidRPr="00000000">
            <w:rPr>
              <w:rFonts w:ascii="Garamond" w:cs="Garamond" w:eastAsia="Garamond" w:hAnsi="Garamond"/>
              <w:smallCaps w:val="1"/>
              <w:color w:val="000000"/>
              <w:sz w:val="20"/>
              <w:szCs w:val="20"/>
              <w:rtl w:val="0"/>
            </w:rPr>
            <w:tab/>
            <w:t xml:space="preserve">4</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17dp8vu">
            <w:r w:rsidDel="00000000" w:rsidR="00000000" w:rsidRPr="00000000">
              <w:rPr>
                <w:rFonts w:ascii="Titillium" w:cs="Titillium" w:eastAsia="Titillium" w:hAnsi="Titillium"/>
                <w:b w:val="1"/>
                <w:smallCaps w:val="1"/>
                <w:color w:val="000000"/>
                <w:sz w:val="20"/>
                <w:szCs w:val="20"/>
                <w:rtl w:val="0"/>
              </w:rPr>
              <w:t xml:space="preserve">2.</w:t>
            </w:r>
          </w:hyperlink>
          <w:hyperlink w:anchor="_heading=h.17dp8vu">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tillium" w:cs="Titillium" w:eastAsia="Titillium" w:hAnsi="Titillium"/>
              <w:b w:val="1"/>
              <w:smallCaps w:val="1"/>
              <w:color w:val="000000"/>
              <w:sz w:val="20"/>
              <w:szCs w:val="20"/>
              <w:rtl w:val="0"/>
            </w:rPr>
            <w:t xml:space="preserve">DOCUMENTAZIONE DI GARA, CHIARIMENTI E COMUNICAZIONI</w:t>
          </w:r>
          <w:r w:rsidDel="00000000" w:rsidR="00000000" w:rsidRPr="00000000">
            <w:rPr>
              <w:rFonts w:ascii="Garamond" w:cs="Garamond" w:eastAsia="Garamond" w:hAnsi="Garamond"/>
              <w:smallCaps w:val="1"/>
              <w:color w:val="000000"/>
              <w:sz w:val="20"/>
              <w:szCs w:val="20"/>
              <w:rtl w:val="0"/>
            </w:rPr>
            <w:tab/>
            <w:t xml:space="preserve">6</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lnxbz9">
            <w:r w:rsidDel="00000000" w:rsidR="00000000" w:rsidRPr="00000000">
              <w:rPr>
                <w:rFonts w:ascii="Titillium" w:cs="Titillium" w:eastAsia="Titillium" w:hAnsi="Titillium"/>
                <w:b w:val="1"/>
                <w:smallCaps w:val="1"/>
                <w:color w:val="000000"/>
                <w:sz w:val="20"/>
                <w:szCs w:val="20"/>
                <w:rtl w:val="0"/>
              </w:rPr>
              <w:t xml:space="preserve">3.</w:t>
            </w:r>
          </w:hyperlink>
          <w:hyperlink w:anchor="_heading=h.lnxbz9">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Titillium" w:cs="Titillium" w:eastAsia="Titillium" w:hAnsi="Titillium"/>
              <w:b w:val="1"/>
              <w:smallCaps w:val="1"/>
              <w:color w:val="000000"/>
              <w:sz w:val="20"/>
              <w:szCs w:val="20"/>
              <w:rtl w:val="0"/>
            </w:rPr>
            <w:t xml:space="preserve">OGGETTO DELL’APPALTO, IMPORTO E SUDDIVISIONE IN LOTTI</w:t>
          </w:r>
          <w:r w:rsidDel="00000000" w:rsidR="00000000" w:rsidRPr="00000000">
            <w:rPr>
              <w:rFonts w:ascii="Garamond" w:cs="Garamond" w:eastAsia="Garamond" w:hAnsi="Garamond"/>
              <w:smallCaps w:val="1"/>
              <w:color w:val="000000"/>
              <w:sz w:val="20"/>
              <w:szCs w:val="20"/>
              <w:rtl w:val="0"/>
            </w:rPr>
            <w:tab/>
            <w:t xml:space="preserve">7</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44sinio">
            <w:r w:rsidDel="00000000" w:rsidR="00000000" w:rsidRPr="00000000">
              <w:rPr>
                <w:rFonts w:ascii="Titillium" w:cs="Titillium" w:eastAsia="Titillium" w:hAnsi="Titillium"/>
                <w:b w:val="1"/>
                <w:smallCaps w:val="1"/>
                <w:color w:val="000000"/>
                <w:sz w:val="20"/>
                <w:szCs w:val="20"/>
                <w:rtl w:val="0"/>
              </w:rPr>
              <w:t xml:space="preserve">4.</w:t>
            </w:r>
          </w:hyperlink>
          <w:hyperlink w:anchor="_heading=h.44sinio">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tillium" w:cs="Titillium" w:eastAsia="Titillium" w:hAnsi="Titillium"/>
              <w:b w:val="1"/>
              <w:smallCaps w:val="1"/>
              <w:color w:val="000000"/>
              <w:sz w:val="20"/>
              <w:szCs w:val="20"/>
              <w:rtl w:val="0"/>
            </w:rPr>
            <w:t xml:space="preserve">SOGGETTI AMMESSI IN FORMA SINGOLA E ASSOCIATA E CONDIZIONI DI PARTECIPAZIONE</w:t>
          </w:r>
          <w:r w:rsidDel="00000000" w:rsidR="00000000" w:rsidRPr="00000000">
            <w:rPr>
              <w:rFonts w:ascii="Garamond" w:cs="Garamond" w:eastAsia="Garamond" w:hAnsi="Garamond"/>
              <w:smallCaps w:val="1"/>
              <w:color w:val="000000"/>
              <w:sz w:val="20"/>
              <w:szCs w:val="20"/>
              <w:rtl w:val="0"/>
            </w:rPr>
            <w:tab/>
            <w:t xml:space="preserve">8</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z337ya">
            <w:r w:rsidDel="00000000" w:rsidR="00000000" w:rsidRPr="00000000">
              <w:rPr>
                <w:rFonts w:ascii="Titillium" w:cs="Titillium" w:eastAsia="Titillium" w:hAnsi="Titillium"/>
                <w:b w:val="1"/>
                <w:smallCaps w:val="1"/>
                <w:color w:val="000000"/>
                <w:sz w:val="20"/>
                <w:szCs w:val="20"/>
                <w:rtl w:val="0"/>
              </w:rPr>
              <w:t xml:space="preserve">5.</w:t>
            </w:r>
          </w:hyperlink>
          <w:hyperlink w:anchor="_heading=h.z337ya">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Titillium" w:cs="Titillium" w:eastAsia="Titillium" w:hAnsi="Titillium"/>
              <w:b w:val="1"/>
              <w:smallCaps w:val="1"/>
              <w:color w:val="000000"/>
              <w:sz w:val="20"/>
              <w:szCs w:val="20"/>
              <w:rtl w:val="0"/>
            </w:rPr>
            <w:t xml:space="preserve">REQUISITI DI ORDINE GENERALE E ALTRE CAUSE DI ESCLUSIONE</w:t>
          </w:r>
          <w:r w:rsidDel="00000000" w:rsidR="00000000" w:rsidRPr="00000000">
            <w:rPr>
              <w:rFonts w:ascii="Garamond" w:cs="Garamond" w:eastAsia="Garamond" w:hAnsi="Garamond"/>
              <w:smallCaps w:val="1"/>
              <w:color w:val="000000"/>
              <w:sz w:val="20"/>
              <w:szCs w:val="20"/>
              <w:rtl w:val="0"/>
            </w:rPr>
            <w:tab/>
            <w:t xml:space="preserve">9</w:t>
          </w:r>
          <w:r w:rsidDel="00000000" w:rsidR="00000000" w:rsidRPr="00000000">
            <w:fldChar w:fldCharType="begin"/>
            <w:instrText xml:space="preserve"> HYPERLINK \l "_heading=h.z337ya"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3j2qqm3">
            <w:r w:rsidDel="00000000" w:rsidR="00000000" w:rsidRPr="00000000">
              <w:rPr>
                <w:rFonts w:ascii="Titillium" w:cs="Titillium" w:eastAsia="Titillium" w:hAnsi="Titillium"/>
                <w:b w:val="1"/>
                <w:smallCaps w:val="1"/>
                <w:color w:val="000000"/>
                <w:sz w:val="20"/>
                <w:szCs w:val="20"/>
                <w:rtl w:val="0"/>
              </w:rPr>
              <w:t xml:space="preserve">6.</w:t>
            </w:r>
          </w:hyperlink>
          <w:hyperlink w:anchor="_heading=h.3j2qqm3">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tillium" w:cs="Titillium" w:eastAsia="Titillium" w:hAnsi="Titillium"/>
              <w:b w:val="1"/>
              <w:smallCaps w:val="1"/>
              <w:color w:val="000000"/>
              <w:sz w:val="20"/>
              <w:szCs w:val="20"/>
              <w:rtl w:val="0"/>
            </w:rPr>
            <w:t xml:space="preserve">REQUISITI DI ORDINE SPECIALE E MEZZI DI PROVA</w:t>
          </w:r>
          <w:r w:rsidDel="00000000" w:rsidR="00000000" w:rsidRPr="00000000">
            <w:rPr>
              <w:rFonts w:ascii="Garamond" w:cs="Garamond" w:eastAsia="Garamond" w:hAnsi="Garamond"/>
              <w:smallCaps w:val="1"/>
              <w:color w:val="000000"/>
              <w:sz w:val="20"/>
              <w:szCs w:val="20"/>
              <w:rtl w:val="0"/>
            </w:rPr>
            <w:tab/>
            <w:t xml:space="preserve">10</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1pxezwc">
            <w:r w:rsidDel="00000000" w:rsidR="00000000" w:rsidRPr="00000000">
              <w:rPr>
                <w:rFonts w:ascii="Titillium" w:cs="Titillium" w:eastAsia="Titillium" w:hAnsi="Titillium"/>
                <w:b w:val="1"/>
                <w:smallCaps w:val="1"/>
                <w:color w:val="000000"/>
                <w:sz w:val="20"/>
                <w:szCs w:val="20"/>
                <w:rtl w:val="0"/>
              </w:rPr>
              <w:t xml:space="preserve">7.</w:t>
            </w:r>
          </w:hyperlink>
          <w:hyperlink w:anchor="_heading=h.1pxezwc">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Titillium" w:cs="Titillium" w:eastAsia="Titillium" w:hAnsi="Titillium"/>
              <w:b w:val="1"/>
              <w:smallCaps w:val="1"/>
              <w:color w:val="000000"/>
              <w:sz w:val="20"/>
              <w:szCs w:val="20"/>
              <w:rtl w:val="0"/>
            </w:rPr>
            <w:t xml:space="preserve">AVVALIMENTO</w:t>
          </w:r>
          <w:r w:rsidDel="00000000" w:rsidR="00000000" w:rsidRPr="00000000">
            <w:rPr>
              <w:rFonts w:ascii="Garamond" w:cs="Garamond" w:eastAsia="Garamond" w:hAnsi="Garamond"/>
              <w:smallCaps w:val="1"/>
              <w:color w:val="000000"/>
              <w:sz w:val="20"/>
              <w:szCs w:val="20"/>
              <w:rtl w:val="0"/>
            </w:rPr>
            <w:tab/>
            <w:t xml:space="preserve">12</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49x2ik5">
            <w:r w:rsidDel="00000000" w:rsidR="00000000" w:rsidRPr="00000000">
              <w:rPr>
                <w:rFonts w:ascii="Titillium" w:cs="Titillium" w:eastAsia="Titillium" w:hAnsi="Titillium"/>
                <w:b w:val="1"/>
                <w:smallCaps w:val="1"/>
                <w:color w:val="000000"/>
                <w:sz w:val="20"/>
                <w:szCs w:val="20"/>
                <w:rtl w:val="0"/>
              </w:rPr>
              <w:t xml:space="preserve">8.</w:t>
            </w:r>
          </w:hyperlink>
          <w:hyperlink w:anchor="_heading=h.49x2ik5">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Titillium" w:cs="Titillium" w:eastAsia="Titillium" w:hAnsi="Titillium"/>
              <w:b w:val="1"/>
              <w:smallCaps w:val="1"/>
              <w:color w:val="000000"/>
              <w:sz w:val="20"/>
              <w:szCs w:val="20"/>
              <w:rtl w:val="0"/>
            </w:rPr>
            <w:t xml:space="preserve">SUBAPPALTO</w:t>
          </w:r>
          <w:r w:rsidDel="00000000" w:rsidR="00000000" w:rsidRPr="00000000">
            <w:rPr>
              <w:rFonts w:ascii="Garamond" w:cs="Garamond" w:eastAsia="Garamond" w:hAnsi="Garamond"/>
              <w:smallCaps w:val="1"/>
              <w:color w:val="000000"/>
              <w:sz w:val="20"/>
              <w:szCs w:val="20"/>
              <w:rtl w:val="0"/>
            </w:rPr>
            <w:tab/>
            <w:t xml:space="preserve">13</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2p2csry">
            <w:r w:rsidDel="00000000" w:rsidR="00000000" w:rsidRPr="00000000">
              <w:rPr>
                <w:rFonts w:ascii="Titillium" w:cs="Titillium" w:eastAsia="Titillium" w:hAnsi="Titillium"/>
                <w:b w:val="1"/>
                <w:smallCaps w:val="1"/>
                <w:color w:val="000000"/>
                <w:sz w:val="20"/>
                <w:szCs w:val="20"/>
                <w:rtl w:val="0"/>
              </w:rPr>
              <w:t xml:space="preserve">9.</w:t>
            </w:r>
          </w:hyperlink>
          <w:hyperlink w:anchor="_heading=h.2p2csry">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Titillium" w:cs="Titillium" w:eastAsia="Titillium" w:hAnsi="Titillium"/>
              <w:b w:val="1"/>
              <w:smallCaps w:val="1"/>
              <w:color w:val="000000"/>
              <w:sz w:val="20"/>
              <w:szCs w:val="20"/>
              <w:rtl w:val="0"/>
            </w:rPr>
            <w:t xml:space="preserve">REQUISITI DI PARTECIPAZIONE E/O CONDIZIONI DI ESECUZIONE</w:t>
          </w:r>
          <w:r w:rsidDel="00000000" w:rsidR="00000000" w:rsidRPr="00000000">
            <w:rPr>
              <w:rFonts w:ascii="Garamond" w:cs="Garamond" w:eastAsia="Garamond" w:hAnsi="Garamond"/>
              <w:smallCaps w:val="1"/>
              <w:color w:val="000000"/>
              <w:sz w:val="20"/>
              <w:szCs w:val="20"/>
              <w:rtl w:val="0"/>
            </w:rPr>
            <w:tab/>
            <w:t xml:space="preserve">13</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23ckvvd">
            <w:r w:rsidDel="00000000" w:rsidR="00000000" w:rsidRPr="00000000">
              <w:rPr>
                <w:rFonts w:ascii="Titillium" w:cs="Titillium" w:eastAsia="Titillium" w:hAnsi="Titillium"/>
                <w:b w:val="1"/>
                <w:smallCaps w:val="1"/>
                <w:color w:val="000000"/>
                <w:sz w:val="20"/>
                <w:szCs w:val="20"/>
                <w:rtl w:val="0"/>
              </w:rPr>
              <w:t xml:space="preserve">10.</w:t>
            </w:r>
          </w:hyperlink>
          <w:hyperlink w:anchor="_heading=h.23ckvvd">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Titillium" w:cs="Titillium" w:eastAsia="Titillium" w:hAnsi="Titillium"/>
              <w:b w:val="1"/>
              <w:smallCaps w:val="1"/>
              <w:color w:val="000000"/>
              <w:sz w:val="20"/>
              <w:szCs w:val="20"/>
              <w:rtl w:val="0"/>
            </w:rPr>
            <w:t xml:space="preserve">GARANZIA PROVVISORIA</w:t>
          </w:r>
          <w:r w:rsidDel="00000000" w:rsidR="00000000" w:rsidRPr="00000000">
            <w:rPr>
              <w:rFonts w:ascii="Garamond" w:cs="Garamond" w:eastAsia="Garamond" w:hAnsi="Garamond"/>
              <w:smallCaps w:val="1"/>
              <w:color w:val="000000"/>
              <w:sz w:val="20"/>
              <w:szCs w:val="20"/>
              <w:rtl w:val="0"/>
            </w:rPr>
            <w:tab/>
            <w:t xml:space="preserve">14</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ihv636">
            <w:r w:rsidDel="00000000" w:rsidR="00000000" w:rsidRPr="00000000">
              <w:rPr>
                <w:rFonts w:ascii="Titillium" w:cs="Titillium" w:eastAsia="Titillium" w:hAnsi="Titillium"/>
                <w:b w:val="1"/>
                <w:smallCaps w:val="1"/>
                <w:color w:val="000000"/>
                <w:sz w:val="20"/>
                <w:szCs w:val="20"/>
                <w:rtl w:val="0"/>
              </w:rPr>
              <w:t xml:space="preserve">11.</w:t>
            </w:r>
          </w:hyperlink>
          <w:hyperlink w:anchor="_heading=h.ihv636">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Titillium" w:cs="Titillium" w:eastAsia="Titillium" w:hAnsi="Titillium"/>
              <w:b w:val="1"/>
              <w:smallCaps w:val="1"/>
              <w:color w:val="000000"/>
              <w:sz w:val="20"/>
              <w:szCs w:val="20"/>
              <w:rtl w:val="0"/>
            </w:rPr>
            <w:t xml:space="preserve">SOPRALLUOGO</w:t>
          </w:r>
          <w:r w:rsidDel="00000000" w:rsidR="00000000" w:rsidRPr="00000000">
            <w:rPr>
              <w:rFonts w:ascii="Garamond" w:cs="Garamond" w:eastAsia="Garamond" w:hAnsi="Garamond"/>
              <w:smallCaps w:val="1"/>
              <w:color w:val="000000"/>
              <w:sz w:val="20"/>
              <w:szCs w:val="20"/>
              <w:rtl w:val="0"/>
            </w:rPr>
            <w:tab/>
            <w:t xml:space="preserve">16</w:t>
          </w:r>
          <w:r w:rsidDel="00000000" w:rsidR="00000000" w:rsidRPr="00000000">
            <w:fldChar w:fldCharType="begin"/>
            <w:instrText xml:space="preserve"> HYPERLINK \l "_heading=h.ihv636"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32hioqz">
            <w:r w:rsidDel="00000000" w:rsidR="00000000" w:rsidRPr="00000000">
              <w:rPr>
                <w:rFonts w:ascii="Titillium" w:cs="Titillium" w:eastAsia="Titillium" w:hAnsi="Titillium"/>
                <w:b w:val="1"/>
                <w:smallCaps w:val="1"/>
                <w:color w:val="000000"/>
                <w:sz w:val="20"/>
                <w:szCs w:val="20"/>
                <w:rtl w:val="0"/>
              </w:rPr>
              <w:t xml:space="preserve">12.</w:t>
            </w:r>
          </w:hyperlink>
          <w:hyperlink w:anchor="_heading=h.32hioqz">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tillium" w:cs="Titillium" w:eastAsia="Titillium" w:hAnsi="Titillium"/>
              <w:b w:val="1"/>
              <w:smallCaps w:val="1"/>
              <w:color w:val="000000"/>
              <w:sz w:val="20"/>
              <w:szCs w:val="20"/>
              <w:rtl w:val="0"/>
            </w:rPr>
            <w:t xml:space="preserve">PAGAMENTO DEL CONTRIBUTO A FAVORE DELL’ANAC</w:t>
          </w:r>
          <w:r w:rsidDel="00000000" w:rsidR="00000000" w:rsidRPr="00000000">
            <w:rPr>
              <w:rFonts w:ascii="Garamond" w:cs="Garamond" w:eastAsia="Garamond" w:hAnsi="Garamond"/>
              <w:smallCaps w:val="1"/>
              <w:color w:val="000000"/>
              <w:sz w:val="20"/>
              <w:szCs w:val="20"/>
              <w:rtl w:val="0"/>
            </w:rPr>
            <w:tab/>
            <w:t xml:space="preserve">16</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1hmsyys">
            <w:r w:rsidDel="00000000" w:rsidR="00000000" w:rsidRPr="00000000">
              <w:rPr>
                <w:rFonts w:ascii="Titillium" w:cs="Titillium" w:eastAsia="Titillium" w:hAnsi="Titillium"/>
                <w:b w:val="1"/>
                <w:smallCaps w:val="1"/>
                <w:color w:val="000000"/>
                <w:sz w:val="20"/>
                <w:szCs w:val="20"/>
                <w:rtl w:val="0"/>
              </w:rPr>
              <w:t xml:space="preserve">13.</w:t>
            </w:r>
          </w:hyperlink>
          <w:hyperlink w:anchor="_heading=h.1hmsyys">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Titillium" w:cs="Titillium" w:eastAsia="Titillium" w:hAnsi="Titillium"/>
              <w:b w:val="1"/>
              <w:smallCaps w:val="1"/>
              <w:color w:val="000000"/>
              <w:sz w:val="20"/>
              <w:szCs w:val="20"/>
              <w:rtl w:val="0"/>
            </w:rPr>
            <w:t xml:space="preserve">MODALITÀ DI PRESENTAZIONE DELL’OFFERTA E SOTTOSCRIZIONE DEI DO</w:t>
          </w:r>
          <w:r w:rsidDel="00000000" w:rsidR="00000000" w:rsidRPr="00000000">
            <w:rPr>
              <w:rFonts w:ascii="Titillium" w:cs="Titillium" w:eastAsia="Titillium" w:hAnsi="Titillium"/>
              <w:b w:val="1"/>
              <w:smallCaps w:val="1"/>
              <w:sz w:val="20"/>
              <w:szCs w:val="20"/>
              <w:rtl w:val="0"/>
            </w:rPr>
            <w:t xml:space="preserve">C.</w:t>
          </w:r>
          <w:r w:rsidDel="00000000" w:rsidR="00000000" w:rsidRPr="00000000">
            <w:rPr>
              <w:rFonts w:ascii="Titillium" w:cs="Titillium" w:eastAsia="Titillium" w:hAnsi="Titillium"/>
              <w:b w:val="1"/>
              <w:smallCaps w:val="1"/>
              <w:color w:val="000000"/>
              <w:sz w:val="20"/>
              <w:szCs w:val="20"/>
              <w:rtl w:val="0"/>
            </w:rPr>
            <w:t xml:space="preserve"> DI GARA</w:t>
          </w:r>
          <w:r w:rsidDel="00000000" w:rsidR="00000000" w:rsidRPr="00000000">
            <w:rPr>
              <w:rFonts w:ascii="Garamond" w:cs="Garamond" w:eastAsia="Garamond" w:hAnsi="Garamond"/>
              <w:smallCaps w:val="1"/>
              <w:color w:val="000000"/>
              <w:sz w:val="20"/>
              <w:szCs w:val="20"/>
              <w:rtl w:val="0"/>
            </w:rPr>
            <w:tab/>
            <w:t xml:space="preserve">16</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2grqrue">
            <w:r w:rsidDel="00000000" w:rsidR="00000000" w:rsidRPr="00000000">
              <w:rPr>
                <w:rFonts w:ascii="Titillium" w:cs="Titillium" w:eastAsia="Titillium" w:hAnsi="Titillium"/>
                <w:b w:val="1"/>
                <w:smallCaps w:val="1"/>
                <w:color w:val="000000"/>
                <w:sz w:val="20"/>
                <w:szCs w:val="20"/>
                <w:rtl w:val="0"/>
              </w:rPr>
              <w:t xml:space="preserve">14.</w:t>
            </w:r>
          </w:hyperlink>
          <w:hyperlink w:anchor="_heading=h.2grqrue">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Titillium" w:cs="Titillium" w:eastAsia="Titillium" w:hAnsi="Titillium"/>
              <w:b w:val="1"/>
              <w:smallCaps w:val="1"/>
              <w:color w:val="000000"/>
              <w:sz w:val="20"/>
              <w:szCs w:val="20"/>
              <w:rtl w:val="0"/>
            </w:rPr>
            <w:t xml:space="preserve">SOCCORSO ISTRUTTORIO</w:t>
          </w:r>
          <w:r w:rsidDel="00000000" w:rsidR="00000000" w:rsidRPr="00000000">
            <w:rPr>
              <w:rFonts w:ascii="Garamond" w:cs="Garamond" w:eastAsia="Garamond" w:hAnsi="Garamond"/>
              <w:smallCaps w:val="1"/>
              <w:color w:val="000000"/>
              <w:sz w:val="20"/>
              <w:szCs w:val="20"/>
              <w:rtl w:val="0"/>
            </w:rPr>
            <w:tab/>
            <w:t xml:space="preserve">17</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vx1227">
            <w:r w:rsidDel="00000000" w:rsidR="00000000" w:rsidRPr="00000000">
              <w:rPr>
                <w:rFonts w:ascii="Titillium" w:cs="Titillium" w:eastAsia="Titillium" w:hAnsi="Titillium"/>
                <w:b w:val="1"/>
                <w:smallCaps w:val="1"/>
                <w:color w:val="000000"/>
                <w:sz w:val="20"/>
                <w:szCs w:val="20"/>
                <w:rtl w:val="0"/>
              </w:rPr>
              <w:t xml:space="preserve">15.</w:t>
            </w:r>
          </w:hyperlink>
          <w:hyperlink w:anchor="_heading=h.vx1227">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Titillium" w:cs="Titillium" w:eastAsia="Titillium" w:hAnsi="Titillium"/>
              <w:b w:val="1"/>
              <w:smallCaps w:val="1"/>
              <w:color w:val="000000"/>
              <w:sz w:val="20"/>
              <w:szCs w:val="20"/>
              <w:rtl w:val="0"/>
            </w:rPr>
            <w:t xml:space="preserve">DOMANDA DI PARTECIPAZIONE E DOCUMENTAZIONE AMMINISTRATIVA</w:t>
          </w:r>
          <w:r w:rsidDel="00000000" w:rsidR="00000000" w:rsidRPr="00000000">
            <w:rPr>
              <w:rFonts w:ascii="Garamond" w:cs="Garamond" w:eastAsia="Garamond" w:hAnsi="Garamond"/>
              <w:smallCaps w:val="1"/>
              <w:color w:val="000000"/>
              <w:sz w:val="20"/>
              <w:szCs w:val="20"/>
              <w:rtl w:val="0"/>
            </w:rPr>
            <w:tab/>
            <w:t xml:space="preserve">18</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2u6wntf">
            <w:r w:rsidDel="00000000" w:rsidR="00000000" w:rsidRPr="00000000">
              <w:rPr>
                <w:rFonts w:ascii="Titillium" w:cs="Titillium" w:eastAsia="Titillium" w:hAnsi="Titillium"/>
                <w:b w:val="1"/>
                <w:smallCaps w:val="1"/>
                <w:color w:val="000000"/>
                <w:sz w:val="20"/>
                <w:szCs w:val="20"/>
                <w:rtl w:val="0"/>
              </w:rPr>
              <w:t xml:space="preserve">16.</w:t>
            </w:r>
          </w:hyperlink>
          <w:hyperlink w:anchor="_heading=h.2u6wntf">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Titillium" w:cs="Titillium" w:eastAsia="Titillium" w:hAnsi="Titillium"/>
              <w:b w:val="1"/>
              <w:smallCaps w:val="1"/>
              <w:color w:val="000000"/>
              <w:sz w:val="20"/>
              <w:szCs w:val="20"/>
              <w:rtl w:val="0"/>
            </w:rPr>
            <w:t xml:space="preserve">OFFERTA TECNICA</w:t>
          </w:r>
          <w:r w:rsidDel="00000000" w:rsidR="00000000" w:rsidRPr="00000000">
            <w:rPr>
              <w:rFonts w:ascii="Garamond" w:cs="Garamond" w:eastAsia="Garamond" w:hAnsi="Garamond"/>
              <w:smallCaps w:val="1"/>
              <w:color w:val="000000"/>
              <w:sz w:val="20"/>
              <w:szCs w:val="20"/>
              <w:rtl w:val="0"/>
            </w:rPr>
            <w:tab/>
            <w:t xml:space="preserve">23</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3tbugp1">
            <w:r w:rsidDel="00000000" w:rsidR="00000000" w:rsidRPr="00000000">
              <w:rPr>
                <w:rFonts w:ascii="Titillium" w:cs="Titillium" w:eastAsia="Titillium" w:hAnsi="Titillium"/>
                <w:b w:val="1"/>
                <w:smallCaps w:val="1"/>
                <w:color w:val="000000"/>
                <w:sz w:val="20"/>
                <w:szCs w:val="20"/>
                <w:rtl w:val="0"/>
              </w:rPr>
              <w:t xml:space="preserve">17.</w:t>
            </w:r>
          </w:hyperlink>
          <w:hyperlink w:anchor="_heading=h.3tbugp1">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Titillium" w:cs="Titillium" w:eastAsia="Titillium" w:hAnsi="Titillium"/>
              <w:b w:val="1"/>
              <w:smallCaps w:val="1"/>
              <w:color w:val="000000"/>
              <w:sz w:val="20"/>
              <w:szCs w:val="20"/>
              <w:rtl w:val="0"/>
            </w:rPr>
            <w:t xml:space="preserve">OFFERTA ECONOMICA</w:t>
          </w:r>
          <w:r w:rsidDel="00000000" w:rsidR="00000000" w:rsidRPr="00000000">
            <w:rPr>
              <w:rFonts w:ascii="Garamond" w:cs="Garamond" w:eastAsia="Garamond" w:hAnsi="Garamond"/>
              <w:smallCaps w:val="1"/>
              <w:color w:val="000000"/>
              <w:sz w:val="20"/>
              <w:szCs w:val="20"/>
              <w:rtl w:val="0"/>
            </w:rPr>
            <w:tab/>
            <w:t xml:space="preserve">24</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nmf14n">
            <w:r w:rsidDel="00000000" w:rsidR="00000000" w:rsidRPr="00000000">
              <w:rPr>
                <w:rFonts w:ascii="Titillium" w:cs="Titillium" w:eastAsia="Titillium" w:hAnsi="Titillium"/>
                <w:b w:val="1"/>
                <w:smallCaps w:val="1"/>
                <w:color w:val="000000"/>
                <w:sz w:val="20"/>
                <w:szCs w:val="20"/>
                <w:rtl w:val="0"/>
              </w:rPr>
              <w:t xml:space="preserve">18.</w:t>
            </w:r>
          </w:hyperlink>
          <w:hyperlink w:anchor="_heading=h.nmf14n">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Titillium" w:cs="Titillium" w:eastAsia="Titillium" w:hAnsi="Titillium"/>
              <w:b w:val="1"/>
              <w:smallCaps w:val="1"/>
              <w:color w:val="000000"/>
              <w:sz w:val="20"/>
              <w:szCs w:val="20"/>
              <w:rtl w:val="0"/>
            </w:rPr>
            <w:t xml:space="preserve">CRITERIO DI AGGIUDICAZIONE</w:t>
          </w:r>
          <w:r w:rsidDel="00000000" w:rsidR="00000000" w:rsidRPr="00000000">
            <w:rPr>
              <w:rFonts w:ascii="Garamond" w:cs="Garamond" w:eastAsia="Garamond" w:hAnsi="Garamond"/>
              <w:smallCaps w:val="1"/>
              <w:color w:val="000000"/>
              <w:sz w:val="20"/>
              <w:szCs w:val="20"/>
              <w:rtl w:val="0"/>
            </w:rPr>
            <w:tab/>
            <w:t xml:space="preserve">24</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3l18frh">
            <w:r w:rsidDel="00000000" w:rsidR="00000000" w:rsidRPr="00000000">
              <w:rPr>
                <w:rFonts w:ascii="Titillium" w:cs="Titillium" w:eastAsia="Titillium" w:hAnsi="Titillium"/>
                <w:b w:val="1"/>
                <w:smallCaps w:val="1"/>
                <w:color w:val="000000"/>
                <w:sz w:val="20"/>
                <w:szCs w:val="20"/>
                <w:rtl w:val="0"/>
              </w:rPr>
              <w:t xml:space="preserve">19.</w:t>
            </w:r>
          </w:hyperlink>
          <w:hyperlink w:anchor="_heading=h.3l18frh">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Titillium" w:cs="Titillium" w:eastAsia="Titillium" w:hAnsi="Titillium"/>
              <w:b w:val="1"/>
              <w:smallCaps w:val="1"/>
              <w:color w:val="000000"/>
              <w:sz w:val="20"/>
              <w:szCs w:val="20"/>
              <w:rtl w:val="0"/>
            </w:rPr>
            <w:t xml:space="preserve">COMMISSIONE GIUDICATRICE</w:t>
          </w:r>
          <w:r w:rsidDel="00000000" w:rsidR="00000000" w:rsidRPr="00000000">
            <w:rPr>
              <w:rFonts w:ascii="Garamond" w:cs="Garamond" w:eastAsia="Garamond" w:hAnsi="Garamond"/>
              <w:smallCaps w:val="1"/>
              <w:color w:val="000000"/>
              <w:sz w:val="20"/>
              <w:szCs w:val="20"/>
              <w:rtl w:val="0"/>
            </w:rPr>
            <w:tab/>
            <w:t xml:space="preserve">29</w:t>
          </w:r>
          <w:r w:rsidDel="00000000" w:rsidR="00000000" w:rsidRPr="00000000">
            <w:fldChar w:fldCharType="begin"/>
            <w:instrText xml:space="preserve"> HYPERLINK \l "_heading=h.3l18frh"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206ipza">
            <w:r w:rsidDel="00000000" w:rsidR="00000000" w:rsidRPr="00000000">
              <w:rPr>
                <w:rFonts w:ascii="Titillium" w:cs="Titillium" w:eastAsia="Titillium" w:hAnsi="Titillium"/>
                <w:b w:val="1"/>
                <w:smallCaps w:val="1"/>
                <w:color w:val="000000"/>
                <w:sz w:val="20"/>
                <w:szCs w:val="20"/>
                <w:rtl w:val="0"/>
              </w:rPr>
              <w:t xml:space="preserve">20.</w:t>
            </w:r>
          </w:hyperlink>
          <w:hyperlink w:anchor="_heading=h.206ipza">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Titillium" w:cs="Titillium" w:eastAsia="Titillium" w:hAnsi="Titillium"/>
              <w:b w:val="1"/>
              <w:smallCaps w:val="1"/>
              <w:color w:val="000000"/>
              <w:sz w:val="20"/>
              <w:szCs w:val="20"/>
              <w:rtl w:val="0"/>
            </w:rPr>
            <w:t xml:space="preserve">SVOLGIMENTO DELLE OPERAZIONI DI GARA</w:t>
          </w:r>
          <w:r w:rsidDel="00000000" w:rsidR="00000000" w:rsidRPr="00000000">
            <w:rPr>
              <w:rFonts w:ascii="Garamond" w:cs="Garamond" w:eastAsia="Garamond" w:hAnsi="Garamond"/>
              <w:smallCaps w:val="1"/>
              <w:color w:val="000000"/>
              <w:sz w:val="20"/>
              <w:szCs w:val="20"/>
              <w:rtl w:val="0"/>
            </w:rPr>
            <w:tab/>
            <w:t xml:space="preserve">30</w:t>
          </w:r>
          <w:r w:rsidDel="00000000" w:rsidR="00000000" w:rsidRPr="00000000">
            <w:fldChar w:fldCharType="begin"/>
            <w:instrText xml:space="preserve"> HYPERLINK \l "_heading=h.206ipza"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4k668n3">
            <w:r w:rsidDel="00000000" w:rsidR="00000000" w:rsidRPr="00000000">
              <w:rPr>
                <w:rFonts w:ascii="Titillium" w:cs="Titillium" w:eastAsia="Titillium" w:hAnsi="Titillium"/>
                <w:b w:val="1"/>
                <w:smallCaps w:val="1"/>
                <w:color w:val="000000"/>
                <w:sz w:val="20"/>
                <w:szCs w:val="20"/>
                <w:rtl w:val="0"/>
              </w:rPr>
              <w:t xml:space="preserve">21.</w:t>
            </w:r>
          </w:hyperlink>
          <w:hyperlink w:anchor="_heading=h.4k668n3">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Titillium" w:cs="Titillium" w:eastAsia="Titillium" w:hAnsi="Titillium"/>
              <w:b w:val="1"/>
              <w:smallCaps w:val="1"/>
              <w:color w:val="000000"/>
              <w:sz w:val="20"/>
              <w:szCs w:val="20"/>
              <w:rtl w:val="0"/>
            </w:rPr>
            <w:t xml:space="preserve">VERIFICA DOCUMENTAZIONE AMMINISTRATIVA</w:t>
          </w:r>
          <w:r w:rsidDel="00000000" w:rsidR="00000000" w:rsidRPr="00000000">
            <w:rPr>
              <w:rFonts w:ascii="Garamond" w:cs="Garamond" w:eastAsia="Garamond" w:hAnsi="Garamond"/>
              <w:smallCaps w:val="1"/>
              <w:color w:val="000000"/>
              <w:sz w:val="20"/>
              <w:szCs w:val="20"/>
              <w:rtl w:val="0"/>
            </w:rPr>
            <w:tab/>
            <w:t xml:space="preserve">30</w:t>
          </w:r>
          <w:r w:rsidDel="00000000" w:rsidR="00000000" w:rsidRPr="00000000">
            <w:fldChar w:fldCharType="begin"/>
            <w:instrText xml:space="preserve"> HYPERLINK \l "_heading=h.4k668n3"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2zbgiuw">
            <w:r w:rsidDel="00000000" w:rsidR="00000000" w:rsidRPr="00000000">
              <w:rPr>
                <w:rFonts w:ascii="Titillium" w:cs="Titillium" w:eastAsia="Titillium" w:hAnsi="Titillium"/>
                <w:b w:val="1"/>
                <w:smallCaps w:val="1"/>
                <w:color w:val="000000"/>
                <w:sz w:val="20"/>
                <w:szCs w:val="20"/>
                <w:rtl w:val="0"/>
              </w:rPr>
              <w:t xml:space="preserve">22.</w:t>
            </w:r>
          </w:hyperlink>
          <w:hyperlink w:anchor="_heading=h.2zbgiuw">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Titillium" w:cs="Titillium" w:eastAsia="Titillium" w:hAnsi="Titillium"/>
              <w:b w:val="1"/>
              <w:smallCaps w:val="1"/>
              <w:color w:val="000000"/>
              <w:sz w:val="20"/>
              <w:szCs w:val="20"/>
              <w:rtl w:val="0"/>
            </w:rPr>
            <w:t xml:space="preserve">VALUTAZIONE DELLE OFFERTE TECNICHE ED ECONOMICHE</w:t>
          </w:r>
          <w:r w:rsidDel="00000000" w:rsidR="00000000" w:rsidRPr="00000000">
            <w:rPr>
              <w:rFonts w:ascii="Garamond" w:cs="Garamond" w:eastAsia="Garamond" w:hAnsi="Garamond"/>
              <w:smallCaps w:val="1"/>
              <w:color w:val="000000"/>
              <w:sz w:val="20"/>
              <w:szCs w:val="20"/>
              <w:rtl w:val="0"/>
            </w:rPr>
            <w:tab/>
            <w:t xml:space="preserve">30</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1egqt2p">
            <w:r w:rsidDel="00000000" w:rsidR="00000000" w:rsidRPr="00000000">
              <w:rPr>
                <w:rFonts w:ascii="Titillium" w:cs="Titillium" w:eastAsia="Titillium" w:hAnsi="Titillium"/>
                <w:b w:val="1"/>
                <w:smallCaps w:val="1"/>
                <w:color w:val="000000"/>
                <w:sz w:val="20"/>
                <w:szCs w:val="20"/>
                <w:rtl w:val="0"/>
              </w:rPr>
              <w:t xml:space="preserve">23.</w:t>
            </w:r>
          </w:hyperlink>
          <w:hyperlink w:anchor="_heading=h.1egqt2p">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_heading=h.1egqt2p \h </w:instrText>
            <w:fldChar w:fldCharType="separate"/>
          </w:r>
          <w:r w:rsidDel="00000000" w:rsidR="00000000" w:rsidRPr="00000000">
            <w:rPr>
              <w:rFonts w:ascii="Titillium" w:cs="Titillium" w:eastAsia="Titillium" w:hAnsi="Titillium"/>
              <w:b w:val="1"/>
              <w:smallCaps w:val="1"/>
              <w:color w:val="000000"/>
              <w:sz w:val="20"/>
              <w:szCs w:val="20"/>
              <w:rtl w:val="0"/>
            </w:rPr>
            <w:t xml:space="preserve">VERIFICA DI ANOMALIA DELLE OFFERTE</w:t>
          </w:r>
          <w:r w:rsidDel="00000000" w:rsidR="00000000" w:rsidRPr="00000000">
            <w:rPr>
              <w:rFonts w:ascii="Garamond" w:cs="Garamond" w:eastAsia="Garamond" w:hAnsi="Garamond"/>
              <w:smallCaps w:val="1"/>
              <w:color w:val="000000"/>
              <w:sz w:val="20"/>
              <w:szCs w:val="20"/>
              <w:rtl w:val="0"/>
            </w:rPr>
            <w:tab/>
            <w:t xml:space="preserve">31</w:t>
          </w:r>
          <w:r w:rsidDel="00000000" w:rsidR="00000000" w:rsidRPr="00000000">
            <w:fldChar w:fldCharType="begin"/>
            <w:instrText xml:space="preserve"> HYPERLINK \l "_heading=h.1egqt2p"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kgcv8k">
            <w:r w:rsidDel="00000000" w:rsidR="00000000" w:rsidRPr="00000000">
              <w:rPr>
                <w:rFonts w:ascii="Titillium" w:cs="Titillium" w:eastAsia="Titillium" w:hAnsi="Titillium"/>
                <w:b w:val="1"/>
                <w:smallCaps w:val="1"/>
                <w:color w:val="000000"/>
                <w:sz w:val="20"/>
                <w:szCs w:val="20"/>
                <w:rtl w:val="0"/>
              </w:rPr>
              <w:t xml:space="preserve">22.</w:t>
            </w:r>
          </w:hyperlink>
          <w:hyperlink w:anchor="_heading=h.kgcv8k">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Titillium" w:cs="Titillium" w:eastAsia="Titillium" w:hAnsi="Titillium"/>
              <w:b w:val="1"/>
              <w:smallCaps w:val="1"/>
              <w:color w:val="000000"/>
              <w:sz w:val="20"/>
              <w:szCs w:val="20"/>
              <w:rtl w:val="0"/>
            </w:rPr>
            <w:t xml:space="preserve">VERIFICA DELLA DOCUMENTAZIONE AMMINISTRATIVA</w:t>
          </w:r>
          <w:r w:rsidDel="00000000" w:rsidR="00000000" w:rsidRPr="00000000">
            <w:rPr>
              <w:rFonts w:ascii="Garamond" w:cs="Garamond" w:eastAsia="Garamond" w:hAnsi="Garamond"/>
              <w:smallCaps w:val="1"/>
              <w:color w:val="000000"/>
              <w:sz w:val="20"/>
              <w:szCs w:val="20"/>
              <w:rtl w:val="0"/>
            </w:rPr>
            <w:tab/>
            <w:t xml:space="preserve">32</w:t>
          </w:r>
          <w:r w:rsidDel="00000000" w:rsidR="00000000" w:rsidRPr="00000000">
            <w:fldChar w:fldCharType="begin"/>
            <w:instrText xml:space="preserve"> HYPERLINK \l "_heading=h.kgcv8k"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2dlolyb">
            <w:r w:rsidDel="00000000" w:rsidR="00000000" w:rsidRPr="00000000">
              <w:rPr>
                <w:rFonts w:ascii="Titillium" w:cs="Titillium" w:eastAsia="Titillium" w:hAnsi="Titillium"/>
                <w:b w:val="1"/>
                <w:smallCaps w:val="1"/>
                <w:color w:val="000000"/>
                <w:sz w:val="20"/>
                <w:szCs w:val="20"/>
                <w:rtl w:val="0"/>
              </w:rPr>
              <w:t xml:space="preserve">23.</w:t>
            </w:r>
          </w:hyperlink>
          <w:hyperlink w:anchor="_heading=h.2dlolyb">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Titillium" w:cs="Titillium" w:eastAsia="Titillium" w:hAnsi="Titillium"/>
              <w:b w:val="1"/>
              <w:smallCaps w:val="1"/>
              <w:color w:val="000000"/>
              <w:sz w:val="20"/>
              <w:szCs w:val="20"/>
              <w:rtl w:val="0"/>
            </w:rPr>
            <w:t xml:space="preserve">AGGIUDICAZIONE DELL’APPALTO E STIPULA DEL CONTRATTO</w:t>
          </w:r>
          <w:r w:rsidDel="00000000" w:rsidR="00000000" w:rsidRPr="00000000">
            <w:rPr>
              <w:rFonts w:ascii="Garamond" w:cs="Garamond" w:eastAsia="Garamond" w:hAnsi="Garamond"/>
              <w:smallCaps w:val="1"/>
              <w:color w:val="000000"/>
              <w:sz w:val="20"/>
              <w:szCs w:val="20"/>
              <w:rtl w:val="0"/>
            </w:rPr>
            <w:tab/>
            <w:t xml:space="preserve">32</w:t>
          </w:r>
          <w:r w:rsidDel="00000000" w:rsidR="00000000" w:rsidRPr="00000000">
            <w:fldChar w:fldCharType="begin"/>
            <w:instrText xml:space="preserve"> HYPERLINK \l "_heading=h.2dlolyb"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sqyw64">
            <w:r w:rsidDel="00000000" w:rsidR="00000000" w:rsidRPr="00000000">
              <w:rPr>
                <w:rFonts w:ascii="Titillium" w:cs="Titillium" w:eastAsia="Titillium" w:hAnsi="Titillium"/>
                <w:b w:val="1"/>
                <w:smallCaps w:val="1"/>
                <w:color w:val="000000"/>
                <w:sz w:val="20"/>
                <w:szCs w:val="20"/>
                <w:rtl w:val="0"/>
              </w:rPr>
              <w:t xml:space="preserve">24.</w:t>
            </w:r>
          </w:hyperlink>
          <w:hyperlink w:anchor="_heading=h.sqyw64">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Titillium" w:cs="Titillium" w:eastAsia="Titillium" w:hAnsi="Titillium"/>
              <w:b w:val="1"/>
              <w:smallCaps w:val="1"/>
              <w:color w:val="000000"/>
              <w:sz w:val="20"/>
              <w:szCs w:val="20"/>
              <w:rtl w:val="0"/>
            </w:rPr>
            <w:t xml:space="preserve">OBBLIGHI RELATIVI ALLA TRACCIABILITÀ DEI FLUSSI FINANZIARI</w:t>
          </w:r>
          <w:r w:rsidDel="00000000" w:rsidR="00000000" w:rsidRPr="00000000">
            <w:rPr>
              <w:rFonts w:ascii="Garamond" w:cs="Garamond" w:eastAsia="Garamond" w:hAnsi="Garamond"/>
              <w:smallCaps w:val="1"/>
              <w:color w:val="000000"/>
              <w:sz w:val="20"/>
              <w:szCs w:val="20"/>
              <w:rtl w:val="0"/>
            </w:rPr>
            <w:tab/>
            <w:t xml:space="preserve">33</w:t>
          </w:r>
          <w:r w:rsidDel="00000000" w:rsidR="00000000" w:rsidRPr="00000000">
            <w:fldChar w:fldCharType="begin"/>
            <w:instrText xml:space="preserve"> HYPERLINK \l "_heading=h.sqyw64"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3cqmetx">
            <w:r w:rsidDel="00000000" w:rsidR="00000000" w:rsidRPr="00000000">
              <w:rPr>
                <w:rFonts w:ascii="Titillium" w:cs="Titillium" w:eastAsia="Titillium" w:hAnsi="Titillium"/>
                <w:b w:val="1"/>
                <w:smallCaps w:val="1"/>
                <w:color w:val="000000"/>
                <w:sz w:val="20"/>
                <w:szCs w:val="20"/>
                <w:rtl w:val="0"/>
              </w:rPr>
              <w:t xml:space="preserve">25.</w:t>
            </w:r>
          </w:hyperlink>
          <w:hyperlink w:anchor="_heading=h.3cqmetx">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Titillium" w:cs="Titillium" w:eastAsia="Titillium" w:hAnsi="Titillium"/>
              <w:b w:val="1"/>
              <w:smallCaps w:val="1"/>
              <w:color w:val="000000"/>
              <w:sz w:val="20"/>
              <w:szCs w:val="20"/>
              <w:rtl w:val="0"/>
            </w:rPr>
            <w:t xml:space="preserve">CODICE DI COMPORTAMENTO</w:t>
          </w:r>
          <w:r w:rsidDel="00000000" w:rsidR="00000000" w:rsidRPr="00000000">
            <w:rPr>
              <w:rFonts w:ascii="Garamond" w:cs="Garamond" w:eastAsia="Garamond" w:hAnsi="Garamond"/>
              <w:smallCaps w:val="1"/>
              <w:color w:val="000000"/>
              <w:sz w:val="20"/>
              <w:szCs w:val="20"/>
              <w:rtl w:val="0"/>
            </w:rPr>
            <w:tab/>
            <w:t xml:space="preserve">33</w:t>
          </w:r>
          <w:r w:rsidDel="00000000" w:rsidR="00000000" w:rsidRPr="00000000">
            <w:fldChar w:fldCharType="begin"/>
            <w:instrText xml:space="preserve"> HYPERLINK \l "_heading=h.3cqmetx"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1rvwp1q">
            <w:r w:rsidDel="00000000" w:rsidR="00000000" w:rsidRPr="00000000">
              <w:rPr>
                <w:rFonts w:ascii="Titillium" w:cs="Titillium" w:eastAsia="Titillium" w:hAnsi="Titillium"/>
                <w:b w:val="1"/>
                <w:smallCaps w:val="1"/>
                <w:color w:val="000000"/>
                <w:sz w:val="20"/>
                <w:szCs w:val="20"/>
                <w:rtl w:val="0"/>
              </w:rPr>
              <w:t xml:space="preserve">26.</w:t>
            </w:r>
          </w:hyperlink>
          <w:hyperlink w:anchor="_heading=h.1rvwp1q">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Titillium" w:cs="Titillium" w:eastAsia="Titillium" w:hAnsi="Titillium"/>
              <w:b w:val="1"/>
              <w:smallCaps w:val="1"/>
              <w:color w:val="000000"/>
              <w:sz w:val="20"/>
              <w:szCs w:val="20"/>
              <w:rtl w:val="0"/>
            </w:rPr>
            <w:t xml:space="preserve">ACCESSO AGLI ATTI</w:t>
          </w:r>
          <w:r w:rsidDel="00000000" w:rsidR="00000000" w:rsidRPr="00000000">
            <w:rPr>
              <w:rFonts w:ascii="Garamond" w:cs="Garamond" w:eastAsia="Garamond" w:hAnsi="Garamond"/>
              <w:smallCaps w:val="1"/>
              <w:color w:val="000000"/>
              <w:sz w:val="20"/>
              <w:szCs w:val="20"/>
              <w:rtl w:val="0"/>
            </w:rPr>
            <w:tab/>
            <w:t xml:space="preserve">34</w:t>
          </w:r>
          <w:r w:rsidDel="00000000" w:rsidR="00000000" w:rsidRPr="00000000">
            <w:fldChar w:fldCharType="begin"/>
            <w:instrText xml:space="preserve"> HYPERLINK \l "_heading=h.1rvwp1q"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4bvk7pj">
            <w:r w:rsidDel="00000000" w:rsidR="00000000" w:rsidRPr="00000000">
              <w:rPr>
                <w:rFonts w:ascii="Titillium" w:cs="Titillium" w:eastAsia="Titillium" w:hAnsi="Titillium"/>
                <w:b w:val="1"/>
                <w:smallCaps w:val="1"/>
                <w:color w:val="000000"/>
                <w:sz w:val="20"/>
                <w:szCs w:val="20"/>
                <w:rtl w:val="0"/>
              </w:rPr>
              <w:t xml:space="preserve">27.</w:t>
            </w:r>
          </w:hyperlink>
          <w:hyperlink w:anchor="_heading=h.4bvk7pj">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_heading=h.4bvk7pj \h </w:instrText>
            <w:fldChar w:fldCharType="separate"/>
          </w:r>
          <w:r w:rsidDel="00000000" w:rsidR="00000000" w:rsidRPr="00000000">
            <w:rPr>
              <w:rFonts w:ascii="Titillium" w:cs="Titillium" w:eastAsia="Titillium" w:hAnsi="Titillium"/>
              <w:b w:val="1"/>
              <w:smallCaps w:val="1"/>
              <w:color w:val="000000"/>
              <w:sz w:val="20"/>
              <w:szCs w:val="20"/>
              <w:rtl w:val="0"/>
            </w:rPr>
            <w:t xml:space="preserve">DEFINIZIONE DELLE CONTROVERSIE</w:t>
          </w:r>
          <w:r w:rsidDel="00000000" w:rsidR="00000000" w:rsidRPr="00000000">
            <w:rPr>
              <w:rFonts w:ascii="Garamond" w:cs="Garamond" w:eastAsia="Garamond" w:hAnsi="Garamond"/>
              <w:smallCaps w:val="1"/>
              <w:color w:val="000000"/>
              <w:sz w:val="20"/>
              <w:szCs w:val="20"/>
              <w:rtl w:val="0"/>
            </w:rPr>
            <w:tab/>
            <w:t xml:space="preserve">34</w:t>
          </w:r>
          <w:r w:rsidDel="00000000" w:rsidR="00000000" w:rsidRPr="00000000">
            <w:fldChar w:fldCharType="begin"/>
            <w:instrText xml:space="preserve"> HYPERLINK \l "_heading=h.4bvk7pj"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tabs>
              <w:tab w:val="left" w:leader="none" w:pos="440"/>
              <w:tab w:val="right" w:leader="none" w:pos="9629"/>
            </w:tabs>
            <w:spacing w:line="336" w:lineRule="auto"/>
            <w:ind w:left="442" w:hanging="442"/>
            <w:jc w:val="both"/>
            <w:rPr>
              <w:rFonts w:ascii="Arial" w:cs="Arial" w:eastAsia="Arial" w:hAnsi="Arial"/>
              <w:color w:val="000000"/>
              <w:sz w:val="22"/>
              <w:szCs w:val="22"/>
            </w:rPr>
          </w:pPr>
          <w:r w:rsidDel="00000000" w:rsidR="00000000" w:rsidRPr="00000000">
            <w:fldChar w:fldCharType="end"/>
          </w:r>
          <w:hyperlink w:anchor="_heading=h.2r0uhxc">
            <w:r w:rsidDel="00000000" w:rsidR="00000000" w:rsidRPr="00000000">
              <w:rPr>
                <w:rFonts w:ascii="Titillium" w:cs="Titillium" w:eastAsia="Titillium" w:hAnsi="Titillium"/>
                <w:b w:val="1"/>
                <w:smallCaps w:val="1"/>
                <w:color w:val="000000"/>
                <w:sz w:val="20"/>
                <w:szCs w:val="20"/>
                <w:rtl w:val="0"/>
              </w:rPr>
              <w:t xml:space="preserve">28.</w:t>
            </w:r>
          </w:hyperlink>
          <w:hyperlink w:anchor="_heading=h.2r0uhxc">
            <w:r w:rsidDel="00000000" w:rsidR="00000000" w:rsidRPr="00000000">
              <w:rPr>
                <w:rFonts w:ascii="Arial" w:cs="Arial" w:eastAsia="Arial" w:hAnsi="Arial"/>
                <w:color w:val="000000"/>
                <w:sz w:val="22"/>
                <w:szCs w:val="22"/>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Titillium" w:cs="Titillium" w:eastAsia="Titillium" w:hAnsi="Titillium"/>
              <w:b w:val="1"/>
              <w:smallCaps w:val="1"/>
              <w:color w:val="000000"/>
              <w:sz w:val="20"/>
              <w:szCs w:val="20"/>
              <w:rtl w:val="0"/>
            </w:rPr>
            <w:t xml:space="preserve">TRATTAMENTO DEI DATI PERSONALI</w:t>
          </w:r>
          <w:r w:rsidDel="00000000" w:rsidR="00000000" w:rsidRPr="00000000">
            <w:rPr>
              <w:rFonts w:ascii="Garamond" w:cs="Garamond" w:eastAsia="Garamond" w:hAnsi="Garamond"/>
              <w:smallCaps w:val="1"/>
              <w:color w:val="000000"/>
              <w:sz w:val="20"/>
              <w:szCs w:val="20"/>
              <w:rtl w:val="0"/>
            </w:rPr>
            <w:tab/>
            <w:t xml:space="preserve">34</w:t>
          </w:r>
          <w:r w:rsidDel="00000000" w:rsidR="00000000" w:rsidRPr="00000000">
            <w:fldChar w:fldCharType="begin"/>
            <w:instrText xml:space="preserve"> HYPERLINK \l "_heading=h.2r0uhxc"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keepNext w:val="1"/>
        <w:widowControl w:val="1"/>
        <w:spacing w:after="120" w:before="560" w:line="276" w:lineRule="auto"/>
        <w:jc w:val="both"/>
        <w:rPr>
          <w:rFonts w:ascii="Titillium" w:cs="Titillium" w:eastAsia="Titillium" w:hAnsi="Titillium"/>
          <w:b w:val="1"/>
          <w:smallCaps w:val="1"/>
          <w:sz w:val="18"/>
          <w:szCs w:val="18"/>
        </w:rPr>
      </w:pPr>
      <w:bookmarkStart w:colFirst="0" w:colLast="0" w:name="_heading=h.w7i7yqd9uwp" w:id="4"/>
      <w:bookmarkEnd w:id="4"/>
      <w:r w:rsidDel="00000000" w:rsidR="00000000" w:rsidRPr="00000000">
        <w:br w:type="page"/>
      </w:r>
      <w:r w:rsidDel="00000000" w:rsidR="00000000" w:rsidRPr="00000000">
        <w:rPr>
          <w:rtl w:val="0"/>
        </w:rPr>
      </w:r>
    </w:p>
    <w:p w:rsidR="00000000" w:rsidDel="00000000" w:rsidP="00000000" w:rsidRDefault="00000000" w:rsidRPr="00000000" w14:paraId="00000043">
      <w:pPr>
        <w:keepNext w:val="1"/>
        <w:widowControl w:val="1"/>
        <w:spacing w:after="120" w:before="560" w:line="276" w:lineRule="auto"/>
        <w:jc w:val="both"/>
        <w:rPr>
          <w:rFonts w:ascii="Titillium" w:cs="Titillium" w:eastAsia="Titillium" w:hAnsi="Titillium"/>
          <w:b w:val="1"/>
          <w:smallCaps w:val="1"/>
          <w:sz w:val="18"/>
          <w:szCs w:val="18"/>
        </w:rPr>
      </w:pPr>
      <w:bookmarkStart w:colFirst="0" w:colLast="0" w:name="_heading=h.2et92p0" w:id="5"/>
      <w:bookmarkEnd w:id="5"/>
      <w:r w:rsidDel="00000000" w:rsidR="00000000" w:rsidRPr="00000000">
        <w:rPr>
          <w:rFonts w:ascii="Titillium" w:cs="Titillium" w:eastAsia="Titillium" w:hAnsi="Titillium"/>
          <w:b w:val="1"/>
          <w:smallCaps w:val="1"/>
          <w:sz w:val="18"/>
          <w:szCs w:val="18"/>
          <w:rtl w:val="0"/>
        </w:rPr>
        <w:t xml:space="preserve">PREMESSE</w:t>
      </w:r>
    </w:p>
    <w:p w:rsidR="00000000" w:rsidDel="00000000" w:rsidP="00000000" w:rsidRDefault="00000000" w:rsidRPr="00000000" w14:paraId="0000004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stazione appaltante Sidra s.p.a è società a totale partecipazione pubblica che svolge attività di gestione del servizio idrico integrato disciplinato dall’ art. 148 “Settori speciali” del d.lgs. 36/23 (di seguito, anche il “Codice") – Settore Acqua.</w:t>
      </w:r>
    </w:p>
    <w:p w:rsidR="00000000" w:rsidDel="00000000" w:rsidP="00000000" w:rsidRDefault="00000000" w:rsidRPr="00000000" w14:paraId="00000045">
      <w:pPr>
        <w:widowControl w:val="1"/>
        <w:spacing w:after="60" w:before="60" w:line="276" w:lineRule="auto"/>
        <w:jc w:val="both"/>
        <w:rPr>
          <w:rFonts w:ascii="Titillium" w:cs="Titillium" w:eastAsia="Titillium" w:hAnsi="Titillium"/>
          <w:i w:val="1"/>
          <w:sz w:val="18"/>
          <w:szCs w:val="18"/>
        </w:rPr>
      </w:pPr>
      <w:bookmarkStart w:colFirst="0" w:colLast="0" w:name="_heading=h.tyjcwt" w:id="6"/>
      <w:bookmarkEnd w:id="6"/>
      <w:r w:rsidDel="00000000" w:rsidR="00000000" w:rsidRPr="00000000">
        <w:rPr>
          <w:rFonts w:ascii="Titillium" w:cs="Titillium" w:eastAsia="Titillium" w:hAnsi="Titillium"/>
          <w:sz w:val="18"/>
          <w:szCs w:val="18"/>
          <w:rtl w:val="0"/>
        </w:rPr>
        <w:t xml:space="preserve">Con Delibera del Consiglio di amministrazione del 13/03/2024, Sidra spa ha deciso di indire una procedura aperta ai sensi dell’art. 71 del D.lgs 36/2023 per l’affidamento di </w:t>
      </w:r>
      <w:r w:rsidDel="00000000" w:rsidR="00000000" w:rsidRPr="00000000">
        <w:rPr>
          <w:rFonts w:ascii="Titillium" w:cs="Titillium" w:eastAsia="Titillium" w:hAnsi="Titillium"/>
          <w:b w:val="1"/>
          <w:sz w:val="18"/>
          <w:szCs w:val="18"/>
          <w:rtl w:val="0"/>
        </w:rPr>
        <w:t xml:space="preserve">“</w:t>
      </w:r>
      <w:r w:rsidDel="00000000" w:rsidR="00000000" w:rsidRPr="00000000">
        <w:rPr>
          <w:rFonts w:ascii="Titilium" w:cs="Titilium" w:eastAsia="Titilium" w:hAnsi="Titilium"/>
          <w:color w:val="222a44"/>
          <w:sz w:val="19"/>
          <w:szCs w:val="19"/>
          <w:shd w:fill="f9f9f9" w:val="clear"/>
          <w:rtl w:val="0"/>
        </w:rPr>
        <w:t xml:space="preserve">fornitura di tutti i materiali elettrici necessari per l'adeguamento degli impianti di media e bassa tensione</w:t>
      </w:r>
      <w:r w:rsidDel="00000000" w:rsidR="00000000" w:rsidRPr="00000000">
        <w:rPr>
          <w:rFonts w:ascii="Roboto" w:cs="Roboto" w:eastAsia="Roboto" w:hAnsi="Roboto"/>
          <w:color w:val="222a44"/>
          <w:sz w:val="19"/>
          <w:szCs w:val="19"/>
          <w:shd w:fill="f9f9f9" w:val="clear"/>
          <w:rtl w:val="0"/>
        </w:rPr>
        <w:t xml:space="preserve"> </w:t>
      </w:r>
      <w:r w:rsidDel="00000000" w:rsidR="00000000" w:rsidRPr="00000000">
        <w:rPr>
          <w:rFonts w:ascii="Titillium" w:cs="Titillium" w:eastAsia="Titillium" w:hAnsi="Titillium"/>
          <w:b w:val="1"/>
          <w:sz w:val="18"/>
          <w:szCs w:val="18"/>
          <w:rtl w:val="0"/>
        </w:rPr>
        <w:t xml:space="preserve">”</w:t>
      </w:r>
      <w:r w:rsidDel="00000000" w:rsidR="00000000" w:rsidRPr="00000000">
        <w:rPr>
          <w:rFonts w:ascii="Titillium" w:cs="Titillium" w:eastAsia="Titillium" w:hAnsi="Titillium"/>
          <w:sz w:val="18"/>
          <w:szCs w:val="18"/>
          <w:rtl w:val="0"/>
        </w:rPr>
        <w:t xml:space="preserve"> per un importo di </w:t>
      </w:r>
      <w:r w:rsidDel="00000000" w:rsidR="00000000" w:rsidRPr="00000000">
        <w:rPr>
          <w:rFonts w:ascii="Titillium" w:cs="Titillium" w:eastAsia="Titillium" w:hAnsi="Titillium"/>
          <w:b w:val="1"/>
          <w:sz w:val="18"/>
          <w:szCs w:val="18"/>
          <w:rtl w:val="0"/>
        </w:rPr>
        <w:t xml:space="preserve">€ 730.000,00 oltre iva</w:t>
      </w:r>
      <w:r w:rsidDel="00000000" w:rsidR="00000000" w:rsidRPr="00000000">
        <w:rPr>
          <w:rFonts w:ascii="Titillium" w:cs="Titillium" w:eastAsia="Titillium" w:hAnsi="Titillium"/>
          <w:i w:val="1"/>
          <w:sz w:val="18"/>
          <w:szCs w:val="18"/>
          <w:rtl w:val="0"/>
        </w:rPr>
        <w:t xml:space="preserve">.</w:t>
      </w:r>
    </w:p>
    <w:p w:rsidR="00000000" w:rsidDel="00000000" w:rsidP="00000000" w:rsidRDefault="00000000" w:rsidRPr="00000000" w14:paraId="00000046">
      <w:pPr>
        <w:widowControl w:val="1"/>
        <w:spacing w:after="60" w:before="60" w:line="276" w:lineRule="auto"/>
        <w:jc w:val="both"/>
        <w:rPr>
          <w:rFonts w:ascii="Titillium" w:cs="Titillium" w:eastAsia="Titillium" w:hAnsi="Titillium"/>
          <w:sz w:val="18"/>
          <w:szCs w:val="18"/>
        </w:rPr>
      </w:pPr>
      <w:bookmarkStart w:colFirst="0" w:colLast="0" w:name="_heading=h.hc0wxtrsg6n0" w:id="7"/>
      <w:bookmarkEnd w:id="7"/>
      <w:r w:rsidDel="00000000" w:rsidR="00000000" w:rsidRPr="00000000">
        <w:rPr>
          <w:rFonts w:ascii="Titillium" w:cs="Titillium" w:eastAsia="Titillium" w:hAnsi="Titillium"/>
          <w:sz w:val="18"/>
          <w:szCs w:val="18"/>
          <w:rtl w:val="0"/>
        </w:rPr>
        <w:t xml:space="preserve">La presente procedura aperta è interamente svolta tramite la piattaforma acquisti telematici di Sidra s.p.a. accessibile all’indirizzo </w:t>
      </w:r>
      <w:hyperlink r:id="rId7">
        <w:r w:rsidDel="00000000" w:rsidR="00000000" w:rsidRPr="00000000">
          <w:rPr>
            <w:rFonts w:ascii="Titillium" w:cs="Titillium" w:eastAsia="Titillium" w:hAnsi="Titillium"/>
            <w:color w:val="000080"/>
            <w:sz w:val="18"/>
            <w:szCs w:val="18"/>
            <w:u w:val="single"/>
            <w:rtl w:val="0"/>
          </w:rPr>
          <w:t xml:space="preserve">https://sidraspa.acquistitelematici.it</w:t>
        </w:r>
      </w:hyperlink>
      <w:r w:rsidDel="00000000" w:rsidR="00000000" w:rsidRPr="00000000">
        <w:rPr>
          <w:rFonts w:ascii="Titillium" w:cs="Titillium" w:eastAsia="Titillium" w:hAnsi="Titillium"/>
          <w:sz w:val="18"/>
          <w:szCs w:val="18"/>
          <w:rtl w:val="0"/>
        </w:rPr>
        <w:t xml:space="preserve"> .</w:t>
      </w:r>
    </w:p>
    <w:p w:rsidR="00000000" w:rsidDel="00000000" w:rsidP="00000000" w:rsidRDefault="00000000" w:rsidRPr="00000000" w14:paraId="00000047">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L’affidamento avviene mediante procedura aperta, con applicazione del criterio dell’offerta economicamente più vantaggiosa individuata sulla base del miglior rapporto qualità/ prezzo, tramite l’inversione procedimentale prevista dall’art. 107 comma 3 d.lgs. 36/23.</w:t>
      </w:r>
    </w:p>
    <w:p w:rsidR="00000000" w:rsidDel="00000000" w:rsidP="00000000" w:rsidRDefault="00000000" w:rsidRPr="00000000" w14:paraId="00000048">
      <w:pPr>
        <w:widowControl w:val="1"/>
        <w:spacing w:after="60" w:before="60" w:line="276" w:lineRule="auto"/>
        <w:jc w:val="both"/>
        <w:rPr>
          <w:rFonts w:ascii="Garamond" w:cs="Garamond" w:eastAsia="Garamond" w:hAnsi="Garamond"/>
          <w:i w:val="1"/>
          <w:sz w:val="20"/>
          <w:szCs w:val="20"/>
        </w:rPr>
      </w:pPr>
      <w:r w:rsidDel="00000000" w:rsidR="00000000" w:rsidRPr="00000000">
        <w:rPr>
          <w:rFonts w:ascii="Titillium" w:cs="Titillium" w:eastAsia="Titillium" w:hAnsi="Titillium"/>
          <w:sz w:val="18"/>
          <w:szCs w:val="18"/>
          <w:rtl w:val="0"/>
        </w:rPr>
        <w:t xml:space="preserve">La durata del procedimento è prevista pari a 2 mesI dalla pubblicazione del </w:t>
      </w:r>
      <w:r w:rsidDel="00000000" w:rsidR="00000000" w:rsidRPr="00000000">
        <w:rPr>
          <w:rFonts w:ascii="Titillium" w:cs="Titillium" w:eastAsia="Titillium" w:hAnsi="Titillium"/>
          <w:i w:val="1"/>
          <w:sz w:val="18"/>
          <w:szCs w:val="18"/>
          <w:rtl w:val="0"/>
        </w:rPr>
        <w:t xml:space="preserve">bando.</w:t>
      </w:r>
      <w:r w:rsidDel="00000000" w:rsidR="00000000" w:rsidRPr="00000000">
        <w:rPr>
          <w:rtl w:val="0"/>
        </w:rPr>
      </w:r>
    </w:p>
    <w:p w:rsidR="00000000" w:rsidDel="00000000" w:rsidP="00000000" w:rsidRDefault="00000000" w:rsidRPr="00000000" w14:paraId="00000049">
      <w:pPr>
        <w:widowControl w:val="1"/>
        <w:tabs>
          <w:tab w:val="left" w:leader="none" w:pos="360"/>
        </w:tabs>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Il luogo di svolgimento del servizio/consegna della fornitura è presso il sito Pozzo Turchio – Aci S.Antonio (CT)</w:t>
      </w:r>
      <w:r w:rsidDel="00000000" w:rsidR="00000000" w:rsidRPr="00000000">
        <w:rPr>
          <w:rFonts w:ascii="Titillium" w:cs="Titillium" w:eastAsia="Titillium" w:hAnsi="Titillium"/>
          <w:i w:val="1"/>
          <w:sz w:val="18"/>
          <w:szCs w:val="18"/>
          <w:rtl w:val="0"/>
        </w:rPr>
        <w:t xml:space="preserve">.</w:t>
      </w:r>
      <w:r w:rsidDel="00000000" w:rsidR="00000000" w:rsidRPr="00000000">
        <w:rPr>
          <w:rtl w:val="0"/>
        </w:rPr>
      </w:r>
    </w:p>
    <w:p w:rsidR="00000000" w:rsidDel="00000000" w:rsidP="00000000" w:rsidRDefault="00000000" w:rsidRPr="00000000" w14:paraId="0000004A">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Responsabile unico del progetto e Responsabile del procedimento per la fase dell’affidamento è il dott. ing. Patrizia Spitaleri, </w:t>
      </w:r>
      <w:hyperlink r:id="rId8">
        <w:r w:rsidDel="00000000" w:rsidR="00000000" w:rsidRPr="00000000">
          <w:rPr>
            <w:rFonts w:ascii="Titillium" w:cs="Titillium" w:eastAsia="Titillium" w:hAnsi="Titillium"/>
            <w:color w:val="000080"/>
            <w:sz w:val="18"/>
            <w:szCs w:val="18"/>
            <w:u w:val="single"/>
            <w:rtl w:val="0"/>
          </w:rPr>
          <w:t xml:space="preserve">patrizia.spitaleri@sidraspa.it</w:t>
        </w:r>
      </w:hyperlink>
      <w:r w:rsidDel="00000000" w:rsidR="00000000" w:rsidRPr="00000000">
        <w:rPr>
          <w:rFonts w:ascii="Titillium" w:cs="Titillium" w:eastAsia="Titillium" w:hAnsi="Titillium"/>
          <w:sz w:val="18"/>
          <w:szCs w:val="18"/>
          <w:rtl w:val="0"/>
        </w:rPr>
        <w:t xml:space="preserve">.</w:t>
      </w:r>
    </w:p>
    <w:p w:rsidR="00000000" w:rsidDel="00000000" w:rsidP="00000000" w:rsidRDefault="00000000" w:rsidRPr="00000000" w14:paraId="0000004B">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4C">
      <w:pPr>
        <w:keepNext w:val="1"/>
        <w:widowControl w:val="1"/>
        <w:numPr>
          <w:ilvl w:val="0"/>
          <w:numId w:val="22"/>
        </w:numPr>
        <w:spacing w:after="200" w:before="560" w:line="276" w:lineRule="auto"/>
        <w:ind w:left="357" w:hanging="357"/>
        <w:jc w:val="both"/>
        <w:rPr>
          <w:rFonts w:ascii="Titillium" w:cs="Titillium" w:eastAsia="Titillium" w:hAnsi="Titillium"/>
          <w:b w:val="1"/>
          <w:sz w:val="18"/>
          <w:szCs w:val="18"/>
        </w:rPr>
      </w:pPr>
      <w:bookmarkStart w:colFirst="0" w:colLast="0" w:name="_heading=h.3dy6vkm" w:id="8"/>
      <w:bookmarkEnd w:id="8"/>
      <w:r w:rsidDel="00000000" w:rsidR="00000000" w:rsidRPr="00000000">
        <w:rPr>
          <w:rFonts w:ascii="Titillium" w:cs="Titillium" w:eastAsia="Titillium" w:hAnsi="Titillium"/>
          <w:b w:val="1"/>
          <w:sz w:val="18"/>
          <w:szCs w:val="18"/>
          <w:rtl w:val="0"/>
        </w:rPr>
        <w:t xml:space="preserve">PIATTAFORMA TELEMATICA </w:t>
      </w:r>
    </w:p>
    <w:p w:rsidR="00000000" w:rsidDel="00000000" w:rsidP="00000000" w:rsidRDefault="00000000" w:rsidRPr="00000000" w14:paraId="0000004D">
      <w:pPr>
        <w:pStyle w:val="Heading4"/>
        <w:rPr/>
      </w:pPr>
      <w:bookmarkStart w:colFirst="0" w:colLast="0" w:name="_heading=h.1t3h5sf" w:id="9"/>
      <w:bookmarkEnd w:id="9"/>
      <w:r w:rsidDel="00000000" w:rsidR="00000000" w:rsidRPr="00000000">
        <w:rPr>
          <w:rtl w:val="0"/>
        </w:rPr>
        <w:t xml:space="preserve">LA PIATTAFORMA TELEMATICA DI NEGOZIAZIONE</w:t>
      </w:r>
    </w:p>
    <w:p w:rsidR="00000000" w:rsidDel="00000000" w:rsidP="00000000" w:rsidRDefault="00000000" w:rsidRPr="00000000" w14:paraId="0000004E">
      <w:pPr>
        <w:widowControl w:val="1"/>
        <w:tabs>
          <w:tab w:val="left" w:leader="none" w:pos="567"/>
        </w:tabs>
        <w:spacing w:after="60" w:before="60"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L’utilizzo della Piattaforma comporta l’accettazione tacita ed incondizionata di tutti i termini, le condizioni di utilizzo e le avvertenze contenute nei documenti di gara, in particolare, del Regolamento UE n. 910/2014 (di seguito Regolamento eIDAS - electronic IDentification Authentication and Signature), del decreto legislativo n. 82/2005 recante Codice dell’amministrazione digitale (CAD) e delle Linee guida dell’AGID, nonché di quanto portato a conoscenza degli utenti tramite le comunicazioni sulla Piattaforma.</w:t>
      </w:r>
    </w:p>
    <w:p w:rsidR="00000000" w:rsidDel="00000000" w:rsidP="00000000" w:rsidRDefault="00000000" w:rsidRPr="00000000" w14:paraId="0000004F">
      <w:pPr>
        <w:widowControl w:val="1"/>
        <w:tabs>
          <w:tab w:val="left" w:leader="none" w:pos="567"/>
        </w:tabs>
        <w:spacing w:after="60" w:before="60"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L’utilizzo della Piattaforma avviene nel rispetto dei principi di autoresponsabilità e di diligenza professionale, secondo quanto previsto dall’articolo 1176, comma 2, del Codice civile. </w:t>
      </w:r>
    </w:p>
    <w:p w:rsidR="00000000" w:rsidDel="00000000" w:rsidP="00000000" w:rsidRDefault="00000000" w:rsidRPr="00000000" w14:paraId="00000050">
      <w:pPr>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Stazione appaltante non assume alcuna responsabilità per perdita di documenti e dati, danneggiamento di file e documenti, ritardi nell’inserimento di dati, documenti e/o nella presentazione della domanda, malfunzionamento, danni, pregiudizi derivanti all’operatore economico, da:</w:t>
      </w:r>
    </w:p>
    <w:p w:rsidR="00000000" w:rsidDel="00000000" w:rsidP="00000000" w:rsidRDefault="00000000" w:rsidRPr="00000000" w14:paraId="00000051">
      <w:pPr>
        <w:widowControl w:val="1"/>
        <w:numPr>
          <w:ilvl w:val="1"/>
          <w:numId w:val="12"/>
        </w:numPr>
        <w:spacing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difetti di funzionamento delle apparecchiature e dei sistemi di collegamento e programmi impiegati dal singolo operatore economico per il collegamento alla Piattaforma;</w:t>
      </w:r>
    </w:p>
    <w:p w:rsidR="00000000" w:rsidDel="00000000" w:rsidP="00000000" w:rsidRDefault="00000000" w:rsidRPr="00000000" w14:paraId="00000052">
      <w:pPr>
        <w:widowControl w:val="1"/>
        <w:numPr>
          <w:ilvl w:val="1"/>
          <w:numId w:val="12"/>
        </w:numPr>
        <w:spacing w:line="276" w:lineRule="auto"/>
        <w:ind w:left="284" w:hanging="284"/>
        <w:jc w:val="both"/>
        <w:rPr>
          <w:rFonts w:ascii="Titillium" w:cs="Titillium" w:eastAsia="Titillium" w:hAnsi="Titillium"/>
          <w:sz w:val="18"/>
          <w:szCs w:val="18"/>
        </w:rPr>
      </w:pPr>
      <w:bookmarkStart w:colFirst="0" w:colLast="0" w:name="_heading=h.4d34og8" w:id="10"/>
      <w:bookmarkEnd w:id="10"/>
      <w:r w:rsidDel="00000000" w:rsidR="00000000" w:rsidRPr="00000000">
        <w:rPr>
          <w:rFonts w:ascii="Titillium" w:cs="Titillium" w:eastAsia="Titillium" w:hAnsi="Titillium"/>
          <w:sz w:val="18"/>
          <w:szCs w:val="18"/>
          <w:rtl w:val="0"/>
        </w:rPr>
        <w:t xml:space="preserve">utilizzo della Piattaforma da parte dell’operatore economico in maniera non conforme al Disciplinare e a quanto previsto nei documenti consultabili all’indirizzo </w:t>
      </w:r>
      <w:hyperlink r:id="rId9">
        <w:r w:rsidDel="00000000" w:rsidR="00000000" w:rsidRPr="00000000">
          <w:rPr>
            <w:rFonts w:ascii="Titillium" w:cs="Titillium" w:eastAsia="Titillium" w:hAnsi="Titillium"/>
            <w:color w:val="000080"/>
            <w:sz w:val="18"/>
            <w:szCs w:val="18"/>
            <w:u w:val="single"/>
            <w:rtl w:val="0"/>
          </w:rPr>
          <w:t xml:space="preserve">https://sidraspa.acquistitelematici.it/manuali</w:t>
        </w:r>
      </w:hyperlink>
      <w:r w:rsidDel="00000000" w:rsidR="00000000" w:rsidRPr="00000000">
        <w:rPr>
          <w:rFonts w:ascii="Titillium" w:cs="Titillium" w:eastAsia="Titillium" w:hAnsi="Titillium"/>
          <w:sz w:val="18"/>
          <w:szCs w:val="18"/>
          <w:rtl w:val="0"/>
        </w:rPr>
        <w:t xml:space="preserve">.</w:t>
      </w:r>
    </w:p>
    <w:p w:rsidR="00000000" w:rsidDel="00000000" w:rsidP="00000000" w:rsidRDefault="00000000" w:rsidRPr="00000000" w14:paraId="00000053">
      <w:pPr>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In caso di mancato funzionamento della Piattaforma o di malfunzionamento della stessa, non dovuti alle predette circostanze, che impediscono la corretta presentazione delle offerte, al fine di assicurare la massima partecipazione, la stazione appaltante può disporre la sospensione del termine di presentazione delle offerte per un periodo di tempo necessario a ripristinare il normale funzionamento della Piattaforma e la proroga dello stesso per una durata proporzionale alla durata del mancato o non corretto funzionamento, tenuto conto della gravità dello stesso.</w:t>
      </w:r>
    </w:p>
    <w:p w:rsidR="00000000" w:rsidDel="00000000" w:rsidP="00000000" w:rsidRDefault="00000000" w:rsidRPr="00000000" w14:paraId="00000054">
      <w:pPr>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stazione appaltante si riserva di agire in tal modo anche quando, esclusa la negligenza dell’operatore economico, non sia possibile accertare la causa del mancato funzionamento o del malfunzionamento.</w:t>
      </w:r>
    </w:p>
    <w:p w:rsidR="00000000" w:rsidDel="00000000" w:rsidP="00000000" w:rsidRDefault="00000000" w:rsidRPr="00000000" w14:paraId="00000055">
      <w:pPr>
        <w:tabs>
          <w:tab w:val="left" w:leader="none" w:pos="567"/>
        </w:tabs>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attività e le operazioni effettuate nell'ambito della Piattaforma sono registrate e attribuite all’operatore economico e si intendono compiute nell’ora e nel giorno risultanti dalle registrazioni di sistema. </w:t>
      </w:r>
    </w:p>
    <w:p w:rsidR="00000000" w:rsidDel="00000000" w:rsidP="00000000" w:rsidRDefault="00000000" w:rsidRPr="00000000" w14:paraId="00000056">
      <w:pPr>
        <w:tabs>
          <w:tab w:val="left" w:leader="none" w:pos="567"/>
        </w:tabs>
        <w:spacing w:line="276" w:lineRule="auto"/>
        <w:jc w:val="both"/>
        <w:rPr>
          <w:rFonts w:ascii="Book Antiqua" w:cs="Book Antiqua" w:eastAsia="Book Antiqua" w:hAnsi="Book Antiqua"/>
          <w:color w:val="000000"/>
        </w:rPr>
      </w:pPr>
      <w:r w:rsidDel="00000000" w:rsidR="00000000" w:rsidRPr="00000000">
        <w:rPr>
          <w:rFonts w:ascii="Titillium" w:cs="Titillium" w:eastAsia="Titillium" w:hAnsi="Titillium"/>
          <w:sz w:val="18"/>
          <w:szCs w:val="18"/>
          <w:rtl w:val="0"/>
        </w:rPr>
        <w:t xml:space="preserve">Il sistema operativo della Piattaforma è sincronizzato sulla scala di tempo nazionale di cui al</w:t>
      </w:r>
      <w:r w:rsidDel="00000000" w:rsidR="00000000" w:rsidRPr="00000000">
        <w:rPr>
          <w:rFonts w:ascii="Calibri" w:cs="Calibri" w:eastAsia="Calibri" w:hAnsi="Calibri"/>
          <w:sz w:val="18"/>
          <w:szCs w:val="18"/>
          <w:rtl w:val="0"/>
        </w:rPr>
        <w:t xml:space="preserve"> </w:t>
      </w:r>
      <w:r w:rsidDel="00000000" w:rsidR="00000000" w:rsidRPr="00000000">
        <w:rPr>
          <w:rFonts w:ascii="Titillium" w:cs="Titillium" w:eastAsia="Titillium" w:hAnsi="Titillium"/>
          <w:sz w:val="18"/>
          <w:szCs w:val="18"/>
          <w:rtl w:val="0"/>
        </w:rPr>
        <w:t xml:space="preserve">decreto del Ministro dell'industria, del commercio e dell'artigianato 30 novembre 1993, n. 591, tramite protocollo NTP o standard superiore. </w:t>
      </w:r>
      <w:r w:rsidDel="00000000" w:rsidR="00000000" w:rsidRPr="00000000">
        <w:rPr>
          <w:rtl w:val="0"/>
        </w:rPr>
      </w:r>
    </w:p>
    <w:p w:rsidR="00000000" w:rsidDel="00000000" w:rsidP="00000000" w:rsidRDefault="00000000" w:rsidRPr="00000000" w14:paraId="00000057">
      <w:pPr>
        <w:spacing w:line="276" w:lineRule="auto"/>
        <w:jc w:val="both"/>
        <w:rPr>
          <w:rFonts w:ascii="Book Antiqua" w:cs="Book Antiqua" w:eastAsia="Book Antiqua" w:hAnsi="Book Antiqua"/>
          <w:color w:val="000000"/>
        </w:rPr>
      </w:pPr>
      <w:r w:rsidDel="00000000" w:rsidR="00000000" w:rsidRPr="00000000">
        <w:rPr>
          <w:rFonts w:ascii="Titillium" w:cs="Titillium" w:eastAsia="Titillium" w:hAnsi="Titillium"/>
          <w:sz w:val="18"/>
          <w:szCs w:val="18"/>
          <w:rtl w:val="0"/>
        </w:rPr>
        <w:t xml:space="preserve">L’acquisto, l’installazione e la configurazione dell’</w:t>
      </w:r>
      <w:r w:rsidDel="00000000" w:rsidR="00000000" w:rsidRPr="00000000">
        <w:rPr>
          <w:rFonts w:ascii="Titillium" w:cs="Titillium" w:eastAsia="Titillium" w:hAnsi="Titillium"/>
          <w:i w:val="1"/>
          <w:sz w:val="18"/>
          <w:szCs w:val="18"/>
          <w:rtl w:val="0"/>
        </w:rPr>
        <w:t xml:space="preserve">hardware</w:t>
      </w:r>
      <w:r w:rsidDel="00000000" w:rsidR="00000000" w:rsidRPr="00000000">
        <w:rPr>
          <w:rFonts w:ascii="Titillium" w:cs="Titillium" w:eastAsia="Titillium" w:hAnsi="Titillium"/>
          <w:sz w:val="18"/>
          <w:szCs w:val="18"/>
          <w:rtl w:val="0"/>
        </w:rPr>
        <w:t xml:space="preserve">, del </w:t>
      </w:r>
      <w:r w:rsidDel="00000000" w:rsidR="00000000" w:rsidRPr="00000000">
        <w:rPr>
          <w:rFonts w:ascii="Titillium" w:cs="Titillium" w:eastAsia="Titillium" w:hAnsi="Titillium"/>
          <w:i w:val="1"/>
          <w:sz w:val="18"/>
          <w:szCs w:val="18"/>
          <w:rtl w:val="0"/>
        </w:rPr>
        <w:t xml:space="preserve">software</w:t>
      </w:r>
      <w:r w:rsidDel="00000000" w:rsidR="00000000" w:rsidRPr="00000000">
        <w:rPr>
          <w:rFonts w:ascii="Titillium" w:cs="Titillium" w:eastAsia="Titillium" w:hAnsi="Titillium"/>
          <w:sz w:val="18"/>
          <w:szCs w:val="18"/>
          <w:rtl w:val="0"/>
        </w:rPr>
        <w:t xml:space="preserve">, dei certificati digitali di firma, della casella di PEC o comunque di un indirizzo di servizio elettronico di recapito certificato qualificato, nonché dei collegamenti per l’accesso alla rete </w:t>
      </w:r>
      <w:r w:rsidDel="00000000" w:rsidR="00000000" w:rsidRPr="00000000">
        <w:rPr>
          <w:rFonts w:ascii="Titillium" w:cs="Titillium" w:eastAsia="Titillium" w:hAnsi="Titillium"/>
          <w:i w:val="1"/>
          <w:sz w:val="18"/>
          <w:szCs w:val="18"/>
          <w:rtl w:val="0"/>
        </w:rPr>
        <w:t xml:space="preserve">Internet</w:t>
      </w:r>
      <w:r w:rsidDel="00000000" w:rsidR="00000000" w:rsidRPr="00000000">
        <w:rPr>
          <w:rFonts w:ascii="Titillium" w:cs="Titillium" w:eastAsia="Titillium" w:hAnsi="Titillium"/>
          <w:sz w:val="18"/>
          <w:szCs w:val="18"/>
          <w:rtl w:val="0"/>
        </w:rPr>
        <w:t xml:space="preserve">, restano a esclusivo carico dell’operatore economico.</w:t>
      </w:r>
      <w:r w:rsidDel="00000000" w:rsidR="00000000" w:rsidRPr="00000000">
        <w:rPr>
          <w:rtl w:val="0"/>
        </w:rPr>
      </w:r>
    </w:p>
    <w:p w:rsidR="00000000" w:rsidDel="00000000" w:rsidP="00000000" w:rsidRDefault="00000000" w:rsidRPr="00000000" w14:paraId="00000058">
      <w:pPr>
        <w:tabs>
          <w:tab w:val="left" w:leader="none" w:pos="567"/>
        </w:tabs>
        <w:spacing w:line="276" w:lineRule="auto"/>
        <w:jc w:val="both"/>
        <w:rPr>
          <w:rFonts w:ascii="Titillium" w:cs="Titillium" w:eastAsia="Titillium" w:hAnsi="Titillium"/>
          <w:sz w:val="18"/>
          <w:szCs w:val="18"/>
        </w:rPr>
      </w:pPr>
      <w:bookmarkStart w:colFirst="0" w:colLast="0" w:name="_heading=h.2s8eyo1" w:id="11"/>
      <w:bookmarkEnd w:id="11"/>
      <w:r w:rsidDel="00000000" w:rsidR="00000000" w:rsidRPr="00000000">
        <w:rPr>
          <w:rFonts w:ascii="Titillium" w:cs="Titillium" w:eastAsia="Titillium" w:hAnsi="Titillium"/>
          <w:sz w:val="18"/>
          <w:szCs w:val="18"/>
          <w:rtl w:val="0"/>
        </w:rPr>
        <w:t xml:space="preserve">La Piattaforma è accessibile in qualsiasi orario dalla data di pubblicazione del bando alla data di scadenza del termine di presentazione delle offerte. </w:t>
      </w:r>
    </w:p>
    <w:p w:rsidR="00000000" w:rsidDel="00000000" w:rsidP="00000000" w:rsidRDefault="00000000" w:rsidRPr="00000000" w14:paraId="00000059">
      <w:pPr>
        <w:tabs>
          <w:tab w:val="left" w:leader="none" w:pos="567"/>
        </w:tabs>
        <w:spacing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5A">
      <w:pPr>
        <w:tabs>
          <w:tab w:val="left" w:leader="none" w:pos="567"/>
        </w:tabs>
        <w:spacing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DOTAZIONI TECNICHE</w:t>
      </w:r>
    </w:p>
    <w:p w:rsidR="00000000" w:rsidDel="00000000" w:rsidP="00000000" w:rsidRDefault="00000000" w:rsidRPr="00000000" w14:paraId="0000005B">
      <w:pPr>
        <w:widowControl w:val="1"/>
        <w:tabs>
          <w:tab w:val="left" w:leader="none" w:pos="709"/>
        </w:tabs>
        <w:spacing w:after="60" w:before="60" w:line="276" w:lineRule="auto"/>
        <w:jc w:val="both"/>
        <w:rPr>
          <w:rFonts w:ascii="Garamond" w:cs="Garamond" w:eastAsia="Garamond" w:hAnsi="Garamond"/>
        </w:rPr>
      </w:pPr>
      <w:r w:rsidDel="00000000" w:rsidR="00000000" w:rsidRPr="00000000">
        <w:rPr>
          <w:rFonts w:ascii="Titillium" w:cs="Titillium" w:eastAsia="Titillium" w:hAnsi="Titillium"/>
          <w:color w:val="000000"/>
          <w:sz w:val="18"/>
          <w:szCs w:val="18"/>
          <w:highlight w:val="white"/>
          <w:rtl w:val="0"/>
        </w:rPr>
        <w:t xml:space="preserve">Ai fini della partecipazione alla presente procedura, ogni operatore economico deve dotarsi, a propria cura, spesa e responsabilità della strumentazione tecnica ed informatica conforme a quella indicata nel presente disciplinare e nel documento Cond</w:t>
      </w:r>
      <w:r w:rsidDel="00000000" w:rsidR="00000000" w:rsidRPr="00000000">
        <w:rPr>
          <w:rFonts w:ascii="Titillium" w:cs="Titillium" w:eastAsia="Titillium" w:hAnsi="Titillium"/>
          <w:i w:val="1"/>
          <w:color w:val="000000"/>
          <w:sz w:val="18"/>
          <w:szCs w:val="18"/>
          <w:highlight w:val="white"/>
          <w:rtl w:val="0"/>
        </w:rPr>
        <w:t xml:space="preserve">izioni generali di utilizzo della Piattaforma per gare telematiche</w:t>
      </w:r>
      <w:r w:rsidDel="00000000" w:rsidR="00000000" w:rsidRPr="00000000">
        <w:rPr>
          <w:rFonts w:ascii="Titillium" w:cs="Titillium" w:eastAsia="Titillium" w:hAnsi="Titillium"/>
          <w:color w:val="000000"/>
          <w:sz w:val="18"/>
          <w:szCs w:val="18"/>
          <w:highlight w:val="white"/>
          <w:rtl w:val="0"/>
        </w:rPr>
        <w:t xml:space="preserve">, che disciplina il funzionamento e l’utilizzo della Piattaforma</w:t>
      </w:r>
      <w:r w:rsidDel="00000000" w:rsidR="00000000" w:rsidRPr="00000000">
        <w:rPr>
          <w:rFonts w:ascii="Titillium" w:cs="Titillium" w:eastAsia="Titillium" w:hAnsi="Titillium"/>
          <w:color w:val="000000"/>
          <w:sz w:val="18"/>
          <w:szCs w:val="18"/>
          <w:rtl w:val="0"/>
        </w:rPr>
        <w:t xml:space="preserve">.</w:t>
      </w:r>
      <w:r w:rsidDel="00000000" w:rsidR="00000000" w:rsidRPr="00000000">
        <w:rPr>
          <w:rtl w:val="0"/>
        </w:rPr>
      </w:r>
    </w:p>
    <w:p w:rsidR="00000000" w:rsidDel="00000000" w:rsidP="00000000" w:rsidRDefault="00000000" w:rsidRPr="00000000" w14:paraId="0000005C">
      <w:pPr>
        <w:widowControl w:val="1"/>
        <w:tabs>
          <w:tab w:val="left" w:leader="none" w:pos="709"/>
        </w:tabs>
        <w:spacing w:after="60" w:before="60" w:line="276" w:lineRule="auto"/>
        <w:jc w:val="both"/>
        <w:rPr>
          <w:rFonts w:ascii="Titillium" w:cs="Titillium" w:eastAsia="Titillium" w:hAnsi="Titillium"/>
          <w:color w:val="000000"/>
          <w:sz w:val="18"/>
          <w:szCs w:val="18"/>
          <w:highlight w:val="white"/>
        </w:rPr>
      </w:pPr>
      <w:r w:rsidDel="00000000" w:rsidR="00000000" w:rsidRPr="00000000">
        <w:rPr>
          <w:rFonts w:ascii="Titillium" w:cs="Titillium" w:eastAsia="Titillium" w:hAnsi="Titillium"/>
          <w:color w:val="000000"/>
          <w:sz w:val="18"/>
          <w:szCs w:val="18"/>
          <w:highlight w:val="white"/>
          <w:rtl w:val="0"/>
        </w:rPr>
        <w:t xml:space="preserve">In ogni caso è indispensabile:</w:t>
      </w:r>
    </w:p>
    <w:p w:rsidR="00000000" w:rsidDel="00000000" w:rsidP="00000000" w:rsidRDefault="00000000" w:rsidRPr="00000000" w14:paraId="0000005D">
      <w:pPr>
        <w:widowControl w:val="1"/>
        <w:numPr>
          <w:ilvl w:val="1"/>
          <w:numId w:val="13"/>
        </w:numPr>
        <w:tabs>
          <w:tab w:val="left" w:leader="none" w:pos="360"/>
        </w:tabs>
        <w:spacing w:line="276" w:lineRule="auto"/>
        <w:ind w:left="709" w:hanging="357"/>
        <w:jc w:val="both"/>
        <w:rPr>
          <w:rFonts w:ascii="Titillium" w:cs="Titillium" w:eastAsia="Titillium" w:hAnsi="Titillium"/>
          <w:color w:val="000000"/>
          <w:sz w:val="18"/>
          <w:szCs w:val="18"/>
          <w:highlight w:val="white"/>
        </w:rPr>
      </w:pPr>
      <w:r w:rsidDel="00000000" w:rsidR="00000000" w:rsidRPr="00000000">
        <w:rPr>
          <w:rFonts w:ascii="Titillium" w:cs="Titillium" w:eastAsia="Titillium" w:hAnsi="Titillium"/>
          <w:color w:val="000000"/>
          <w:sz w:val="18"/>
          <w:szCs w:val="18"/>
          <w:highlight w:val="white"/>
          <w:rtl w:val="0"/>
        </w:rPr>
        <w:t xml:space="preserve">disporre almeno di un personal computer conforme agli standard aggiornati di mercato, con connessione internet e dotato di un comune browser idoneo ad operare in modo corretto sulla Piattaforma; </w:t>
      </w:r>
    </w:p>
    <w:p w:rsidR="00000000" w:rsidDel="00000000" w:rsidP="00000000" w:rsidRDefault="00000000" w:rsidRPr="00000000" w14:paraId="0000005E">
      <w:pPr>
        <w:widowControl w:val="1"/>
        <w:numPr>
          <w:ilvl w:val="1"/>
          <w:numId w:val="13"/>
        </w:numPr>
        <w:tabs>
          <w:tab w:val="left" w:leader="none" w:pos="360"/>
        </w:tabs>
        <w:spacing w:line="276" w:lineRule="auto"/>
        <w:ind w:left="709" w:hanging="357"/>
        <w:jc w:val="both"/>
        <w:rPr>
          <w:rFonts w:ascii="Titillium" w:cs="Titillium" w:eastAsia="Titillium" w:hAnsi="Titillium"/>
          <w:color w:val="000000"/>
          <w:sz w:val="18"/>
          <w:szCs w:val="18"/>
          <w:highlight w:val="white"/>
        </w:rPr>
      </w:pPr>
      <w:r w:rsidDel="00000000" w:rsidR="00000000" w:rsidRPr="00000000">
        <w:rPr>
          <w:rFonts w:ascii="Titillium" w:cs="Titillium" w:eastAsia="Titillium" w:hAnsi="Titillium"/>
          <w:color w:val="000000"/>
          <w:sz w:val="18"/>
          <w:szCs w:val="18"/>
          <w:highlight w:val="white"/>
          <w:rtl w:val="0"/>
        </w:rPr>
        <w:t xml:space="preserve">disporre di un sistema pubblico per la gestione dell’identità digitale (SPID) di cui all’articolo 64 del decreto legislativo 7 marzo 2005, n. 82 o di altri mezzi di identificazione elettronica per il riconoscimento reciproco transfrontaliero ai sensi del Regolamento eIDAS;</w:t>
      </w:r>
    </w:p>
    <w:p w:rsidR="00000000" w:rsidDel="00000000" w:rsidP="00000000" w:rsidRDefault="00000000" w:rsidRPr="00000000" w14:paraId="0000005F">
      <w:pPr>
        <w:widowControl w:val="1"/>
        <w:numPr>
          <w:ilvl w:val="1"/>
          <w:numId w:val="13"/>
        </w:numPr>
        <w:tabs>
          <w:tab w:val="left" w:leader="none" w:pos="360"/>
        </w:tabs>
        <w:spacing w:line="276" w:lineRule="auto"/>
        <w:ind w:left="709" w:hanging="360"/>
        <w:jc w:val="both"/>
        <w:rPr>
          <w:rFonts w:ascii="Titillium" w:cs="Titillium" w:eastAsia="Titillium" w:hAnsi="Titillium"/>
          <w:color w:val="000000"/>
          <w:sz w:val="18"/>
          <w:szCs w:val="18"/>
          <w:highlight w:val="white"/>
        </w:rPr>
      </w:pPr>
      <w:r w:rsidDel="00000000" w:rsidR="00000000" w:rsidRPr="00000000">
        <w:rPr>
          <w:rFonts w:ascii="Titillium" w:cs="Titillium" w:eastAsia="Titillium" w:hAnsi="Titillium"/>
          <w:color w:val="000000"/>
          <w:sz w:val="18"/>
          <w:szCs w:val="18"/>
          <w:highlight w:val="white"/>
          <w:rtl w:val="0"/>
        </w:rPr>
        <w:t xml:space="preserve">avere un domicilio digitale presente negli indici di cui agli articoli 6-bis e 6-ter del decreto legislativo 7 marzo 2005, n. 82 o, per l’operatore economico transfrontaliero, un indirizzo di servizio elettronico di recapito certificato qualificato ai sensi del Regolamento eIDAS;</w:t>
      </w:r>
    </w:p>
    <w:p w:rsidR="00000000" w:rsidDel="00000000" w:rsidP="00000000" w:rsidRDefault="00000000" w:rsidRPr="00000000" w14:paraId="00000060">
      <w:pPr>
        <w:widowControl w:val="1"/>
        <w:numPr>
          <w:ilvl w:val="1"/>
          <w:numId w:val="13"/>
        </w:numPr>
        <w:tabs>
          <w:tab w:val="left" w:leader="none" w:pos="360"/>
        </w:tabs>
        <w:spacing w:line="276" w:lineRule="auto"/>
        <w:ind w:left="709" w:hanging="360"/>
        <w:jc w:val="both"/>
        <w:rPr>
          <w:rFonts w:ascii="Titillium" w:cs="Titillium" w:eastAsia="Titillium" w:hAnsi="Titillium"/>
          <w:color w:val="000000"/>
          <w:sz w:val="18"/>
          <w:szCs w:val="18"/>
          <w:highlight w:val="white"/>
        </w:rPr>
      </w:pPr>
      <w:r w:rsidDel="00000000" w:rsidR="00000000" w:rsidRPr="00000000">
        <w:rPr>
          <w:rFonts w:ascii="Titillium" w:cs="Titillium" w:eastAsia="Titillium" w:hAnsi="Titillium"/>
          <w:color w:val="000000"/>
          <w:sz w:val="18"/>
          <w:szCs w:val="18"/>
          <w:highlight w:val="white"/>
          <w:rtl w:val="0"/>
        </w:rPr>
        <w:t xml:space="preserve">avere da parte del legale rappresentante dell’operatore economico (o da persona munita di idonei poteri di firma) un certificato di firma digitale, in corso di validità, rilasciato da:</w:t>
      </w:r>
    </w:p>
    <w:p w:rsidR="00000000" w:rsidDel="00000000" w:rsidP="00000000" w:rsidRDefault="00000000" w:rsidRPr="00000000" w14:paraId="00000061">
      <w:pPr>
        <w:widowControl w:val="1"/>
        <w:numPr>
          <w:ilvl w:val="1"/>
          <w:numId w:val="12"/>
        </w:numPr>
        <w:tabs>
          <w:tab w:val="left" w:leader="none" w:pos="360"/>
        </w:tabs>
        <w:spacing w:line="276" w:lineRule="auto"/>
        <w:ind w:left="1134" w:hanging="360"/>
        <w:jc w:val="both"/>
        <w:rPr>
          <w:rFonts w:ascii="Titillium" w:cs="Titillium" w:eastAsia="Titillium" w:hAnsi="Titillium"/>
          <w:color w:val="000000"/>
          <w:sz w:val="18"/>
          <w:szCs w:val="18"/>
          <w:highlight w:val="white"/>
        </w:rPr>
      </w:pPr>
      <w:r w:rsidDel="00000000" w:rsidR="00000000" w:rsidRPr="00000000">
        <w:rPr>
          <w:rFonts w:ascii="Titillium" w:cs="Titillium" w:eastAsia="Titillium" w:hAnsi="Titillium"/>
          <w:color w:val="000000"/>
          <w:sz w:val="18"/>
          <w:szCs w:val="18"/>
          <w:highlight w:val="white"/>
          <w:rtl w:val="0"/>
        </w:rPr>
        <w:t xml:space="preserve">un organismo incluso nell’elenco pubblico dei certificatori tenuto dall’Agenzia per l’Italia Digitale (previsto dall’articolo 29 del decreto legislativo n. 82/05); </w:t>
      </w:r>
    </w:p>
    <w:p w:rsidR="00000000" w:rsidDel="00000000" w:rsidP="00000000" w:rsidRDefault="00000000" w:rsidRPr="00000000" w14:paraId="00000062">
      <w:pPr>
        <w:widowControl w:val="1"/>
        <w:numPr>
          <w:ilvl w:val="1"/>
          <w:numId w:val="12"/>
        </w:numPr>
        <w:tabs>
          <w:tab w:val="left" w:leader="none" w:pos="360"/>
        </w:tabs>
        <w:spacing w:line="276" w:lineRule="auto"/>
        <w:ind w:left="1134" w:hanging="360"/>
        <w:jc w:val="both"/>
        <w:rPr>
          <w:rFonts w:ascii="Titillium" w:cs="Titillium" w:eastAsia="Titillium" w:hAnsi="Titillium"/>
          <w:color w:val="000000"/>
          <w:sz w:val="18"/>
          <w:szCs w:val="18"/>
          <w:highlight w:val="white"/>
        </w:rPr>
      </w:pPr>
      <w:r w:rsidDel="00000000" w:rsidR="00000000" w:rsidRPr="00000000">
        <w:rPr>
          <w:rFonts w:ascii="Titillium" w:cs="Titillium" w:eastAsia="Titillium" w:hAnsi="Titillium"/>
          <w:color w:val="000000"/>
          <w:sz w:val="18"/>
          <w:szCs w:val="18"/>
          <w:highlight w:val="white"/>
          <w:rtl w:val="0"/>
        </w:rPr>
        <w:t xml:space="preserve">un certificatore operante in base a una licenza o autorizzazione rilasciata da uno Stato membro dell’Unione europea e in possesso dei requisiti previsti dal Regolamento n. 910/14; </w:t>
      </w:r>
    </w:p>
    <w:p w:rsidR="00000000" w:rsidDel="00000000" w:rsidP="00000000" w:rsidRDefault="00000000" w:rsidRPr="00000000" w14:paraId="00000063">
      <w:pPr>
        <w:widowControl w:val="1"/>
        <w:numPr>
          <w:ilvl w:val="1"/>
          <w:numId w:val="12"/>
        </w:numPr>
        <w:tabs>
          <w:tab w:val="left" w:leader="none" w:pos="360"/>
        </w:tabs>
        <w:spacing w:line="276" w:lineRule="auto"/>
        <w:ind w:left="1134" w:hanging="360"/>
        <w:jc w:val="both"/>
        <w:rPr>
          <w:rFonts w:ascii="Book Antiqua" w:cs="Book Antiqua" w:eastAsia="Book Antiqua" w:hAnsi="Book Antiqua"/>
          <w:color w:val="000000"/>
        </w:rPr>
      </w:pPr>
      <w:r w:rsidDel="00000000" w:rsidR="00000000" w:rsidRPr="00000000">
        <w:rPr>
          <w:rFonts w:ascii="Titillium" w:cs="Titillium" w:eastAsia="Titillium" w:hAnsi="Titillium"/>
          <w:color w:val="000000"/>
          <w:sz w:val="18"/>
          <w:szCs w:val="18"/>
          <w:highlight w:val="white"/>
          <w:rtl w:val="0"/>
        </w:rPr>
        <w:t xml:space="preserve">un certificatore stabilito in uno Stato non facente parte dell’Unione europea quando ricorre una delle seguenti condizioni: </w:t>
      </w:r>
      <w:r w:rsidDel="00000000" w:rsidR="00000000" w:rsidRPr="00000000">
        <w:rPr>
          <w:rtl w:val="0"/>
        </w:rPr>
      </w:r>
    </w:p>
    <w:p w:rsidR="00000000" w:rsidDel="00000000" w:rsidP="00000000" w:rsidRDefault="00000000" w:rsidRPr="00000000" w14:paraId="00000064">
      <w:pPr>
        <w:widowControl w:val="1"/>
        <w:numPr>
          <w:ilvl w:val="0"/>
          <w:numId w:val="23"/>
        </w:numPr>
        <w:spacing w:line="276" w:lineRule="auto"/>
        <w:ind w:left="1637" w:hanging="360"/>
        <w:jc w:val="both"/>
        <w:rPr>
          <w:rFonts w:ascii="Book Antiqua" w:cs="Book Antiqua" w:eastAsia="Book Antiqua" w:hAnsi="Book Antiqua"/>
          <w:color w:val="000000"/>
        </w:rPr>
      </w:pPr>
      <w:r w:rsidDel="00000000" w:rsidR="00000000" w:rsidRPr="00000000">
        <w:rPr>
          <w:rFonts w:ascii="Titillium" w:cs="Titillium" w:eastAsia="Titillium" w:hAnsi="Titillium"/>
          <w:color w:val="000000"/>
          <w:sz w:val="18"/>
          <w:szCs w:val="18"/>
          <w:highlight w:val="white"/>
          <w:rtl w:val="0"/>
        </w:rPr>
        <w:t xml:space="preserve">il certificatore possiede i requisiti previsti dal Regolamento </w:t>
      </w:r>
      <w:r w:rsidDel="00000000" w:rsidR="00000000" w:rsidRPr="00000000">
        <w:rPr>
          <w:rFonts w:ascii="Titillium" w:cs="Titillium" w:eastAsia="Titillium" w:hAnsi="Titillium"/>
          <w:color w:val="000000"/>
          <w:sz w:val="18"/>
          <w:szCs w:val="18"/>
          <w:rtl w:val="0"/>
        </w:rPr>
        <w:t xml:space="preserve">n. 910/14 </w:t>
      </w:r>
      <w:r w:rsidDel="00000000" w:rsidR="00000000" w:rsidRPr="00000000">
        <w:rPr>
          <w:rFonts w:ascii="Titillium" w:cs="Titillium" w:eastAsia="Titillium" w:hAnsi="Titillium"/>
          <w:color w:val="000000"/>
          <w:sz w:val="18"/>
          <w:szCs w:val="18"/>
          <w:highlight w:val="white"/>
          <w:rtl w:val="0"/>
        </w:rPr>
        <w:t xml:space="preserve">ed è qualificato in uno stato membro; </w:t>
      </w:r>
      <w:r w:rsidDel="00000000" w:rsidR="00000000" w:rsidRPr="00000000">
        <w:rPr>
          <w:rtl w:val="0"/>
        </w:rPr>
      </w:r>
    </w:p>
    <w:p w:rsidR="00000000" w:rsidDel="00000000" w:rsidP="00000000" w:rsidRDefault="00000000" w:rsidRPr="00000000" w14:paraId="00000065">
      <w:pPr>
        <w:widowControl w:val="1"/>
        <w:numPr>
          <w:ilvl w:val="0"/>
          <w:numId w:val="23"/>
        </w:numPr>
        <w:spacing w:line="276" w:lineRule="auto"/>
        <w:ind w:left="1637" w:hanging="360"/>
        <w:jc w:val="both"/>
        <w:rPr>
          <w:rFonts w:ascii="Titillium" w:cs="Titillium" w:eastAsia="Titillium" w:hAnsi="Titillium"/>
          <w:color w:val="000000"/>
          <w:sz w:val="18"/>
          <w:szCs w:val="18"/>
          <w:highlight w:val="white"/>
        </w:rPr>
      </w:pPr>
      <w:r w:rsidDel="00000000" w:rsidR="00000000" w:rsidRPr="00000000">
        <w:rPr>
          <w:rFonts w:ascii="Titillium" w:cs="Titillium" w:eastAsia="Titillium" w:hAnsi="Titillium"/>
          <w:color w:val="000000"/>
          <w:sz w:val="18"/>
          <w:szCs w:val="18"/>
          <w:highlight w:val="white"/>
          <w:rtl w:val="0"/>
        </w:rPr>
        <w:t xml:space="preserve">il certificato qualificato è garantito da un certificatore stabilito nell’Unione Europea, in possesso dei requisiti di cui al regolamento n. 9100/14; </w:t>
      </w:r>
    </w:p>
    <w:p w:rsidR="00000000" w:rsidDel="00000000" w:rsidP="00000000" w:rsidRDefault="00000000" w:rsidRPr="00000000" w14:paraId="00000066">
      <w:pPr>
        <w:widowControl w:val="1"/>
        <w:numPr>
          <w:ilvl w:val="0"/>
          <w:numId w:val="23"/>
        </w:numPr>
        <w:spacing w:line="276" w:lineRule="auto"/>
        <w:ind w:left="1637" w:hanging="360"/>
        <w:jc w:val="both"/>
        <w:rPr>
          <w:rFonts w:ascii="Titillium" w:cs="Titillium" w:eastAsia="Titillium" w:hAnsi="Titillium"/>
          <w:color w:val="000000"/>
          <w:sz w:val="18"/>
          <w:szCs w:val="18"/>
          <w:highlight w:val="white"/>
        </w:rPr>
      </w:pPr>
      <w:r w:rsidDel="00000000" w:rsidR="00000000" w:rsidRPr="00000000">
        <w:rPr>
          <w:rFonts w:ascii="Titillium" w:cs="Titillium" w:eastAsia="Titillium" w:hAnsi="Titillium"/>
          <w:color w:val="000000"/>
          <w:sz w:val="18"/>
          <w:szCs w:val="18"/>
          <w:highlight w:val="white"/>
          <w:rtl w:val="0"/>
        </w:rPr>
        <w:t xml:space="preserve">il certificato qualificato, o il certificatore, è riconosciuto in forza di un accordo bilaterale o multilaterale tra l’Unione Europea e paesi terzi o organizzazioni internazionali. </w:t>
      </w:r>
    </w:p>
    <w:p w:rsidR="00000000" w:rsidDel="00000000" w:rsidP="00000000" w:rsidRDefault="00000000" w:rsidRPr="00000000" w14:paraId="00000067">
      <w:pPr>
        <w:pStyle w:val="Heading4"/>
        <w:rPr/>
      </w:pPr>
      <w:r w:rsidDel="00000000" w:rsidR="00000000" w:rsidRPr="00000000">
        <w:rPr>
          <w:rtl w:val="0"/>
        </w:rPr>
        <w:t xml:space="preserve">IDENTIFICAZIONE</w:t>
      </w:r>
    </w:p>
    <w:p w:rsidR="00000000" w:rsidDel="00000000" w:rsidP="00000000" w:rsidRDefault="00000000" w:rsidRPr="00000000" w14:paraId="00000068">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Per poter presentare offerta è necessario accedere alla Piattaforma.</w:t>
      </w:r>
    </w:p>
    <w:p w:rsidR="00000000" w:rsidDel="00000000" w:rsidP="00000000" w:rsidRDefault="00000000" w:rsidRPr="00000000" w14:paraId="00000069">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L’accesso è gratuito ed è consentito a seguito dell’identificazione dell’operatore economico. </w:t>
      </w:r>
    </w:p>
    <w:p w:rsidR="00000000" w:rsidDel="00000000" w:rsidP="00000000" w:rsidRDefault="00000000" w:rsidRPr="00000000" w14:paraId="0000006A">
      <w:pPr>
        <w:widowControl w:val="1"/>
        <w:spacing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L’identificazione avviene o mediante il sistema pubblico per la gestione dell’identità digitale di cittadini e imprese (SPID) o attraverso gli altri mezzi di identificazione elettronica per il riconoscimento reciproco transfrontaliero ai sensi del Regolamento eIDAS.</w:t>
      </w:r>
      <w:r w:rsidDel="00000000" w:rsidR="00000000" w:rsidRPr="00000000">
        <w:rPr>
          <w:rtl w:val="0"/>
        </w:rPr>
      </w:r>
    </w:p>
    <w:p w:rsidR="00000000" w:rsidDel="00000000" w:rsidP="00000000" w:rsidRDefault="00000000" w:rsidRPr="00000000" w14:paraId="0000006B">
      <w:pPr>
        <w:tabs>
          <w:tab w:val="left" w:leader="none" w:pos="0"/>
        </w:tabs>
        <w:spacing w:after="60" w:before="60" w:line="276" w:lineRule="auto"/>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Una volta completata la procedura di identificazione, ad ogni operatore economico identificato viene attribuito un profilo da utilizzare nella procedura di gara. </w:t>
      </w:r>
    </w:p>
    <w:p w:rsidR="00000000" w:rsidDel="00000000" w:rsidP="00000000" w:rsidRDefault="00000000" w:rsidRPr="00000000" w14:paraId="0000006C">
      <w:pPr>
        <w:spacing w:line="276" w:lineRule="auto"/>
        <w:ind w:left="1277" w:firstLine="0"/>
        <w:jc w:val="both"/>
        <w:rPr>
          <w:rFonts w:ascii="Titillium" w:cs="Titillium" w:eastAsia="Titillium" w:hAnsi="Titillium"/>
          <w:color w:val="000000"/>
          <w:sz w:val="18"/>
          <w:szCs w:val="18"/>
          <w:highlight w:val="white"/>
        </w:rPr>
      </w:pPr>
      <w:r w:rsidDel="00000000" w:rsidR="00000000" w:rsidRPr="00000000">
        <w:rPr>
          <w:rtl w:val="0"/>
        </w:rPr>
      </w:r>
    </w:p>
    <w:p w:rsidR="00000000" w:rsidDel="00000000" w:rsidP="00000000" w:rsidRDefault="00000000" w:rsidRPr="00000000" w14:paraId="0000006D">
      <w:pPr>
        <w:keepNext w:val="1"/>
        <w:widowControl w:val="1"/>
        <w:numPr>
          <w:ilvl w:val="0"/>
          <w:numId w:val="22"/>
        </w:numPr>
        <w:spacing w:after="200" w:before="560" w:line="276" w:lineRule="auto"/>
        <w:ind w:left="357" w:hanging="357"/>
        <w:jc w:val="both"/>
        <w:rPr>
          <w:rFonts w:ascii="Titillium" w:cs="Titillium" w:eastAsia="Titillium" w:hAnsi="Titillium"/>
          <w:b w:val="1"/>
          <w:sz w:val="18"/>
          <w:szCs w:val="18"/>
        </w:rPr>
      </w:pPr>
      <w:bookmarkStart w:colFirst="0" w:colLast="0" w:name="_heading=h.17dp8vu" w:id="12"/>
      <w:bookmarkEnd w:id="12"/>
      <w:r w:rsidDel="00000000" w:rsidR="00000000" w:rsidRPr="00000000">
        <w:rPr>
          <w:rFonts w:ascii="Titillium" w:cs="Titillium" w:eastAsia="Titillium" w:hAnsi="Titillium"/>
          <w:b w:val="1"/>
          <w:sz w:val="18"/>
          <w:szCs w:val="18"/>
          <w:rtl w:val="0"/>
        </w:rPr>
        <w:t xml:space="preserve">DOCUMENTAZIONE DI GARA, CHIARIMENTI E COMUNICAZIONI</w:t>
      </w:r>
    </w:p>
    <w:p w:rsidR="00000000" w:rsidDel="00000000" w:rsidP="00000000" w:rsidRDefault="00000000" w:rsidRPr="00000000" w14:paraId="0000006E">
      <w:pPr>
        <w:pStyle w:val="Heading4"/>
        <w:rPr/>
      </w:pPr>
      <w:bookmarkStart w:colFirst="0" w:colLast="0" w:name="_heading=h.3rdcrjn" w:id="13"/>
      <w:bookmarkEnd w:id="13"/>
      <w:r w:rsidDel="00000000" w:rsidR="00000000" w:rsidRPr="00000000">
        <w:rPr>
          <w:rtl w:val="0"/>
        </w:rPr>
        <w:t xml:space="preserve">DOCUMENTI DI GARA</w:t>
      </w:r>
    </w:p>
    <w:p w:rsidR="00000000" w:rsidDel="00000000" w:rsidP="00000000" w:rsidRDefault="00000000" w:rsidRPr="00000000" w14:paraId="0000006F">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70">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documentazione di gara comprende:</w:t>
      </w:r>
    </w:p>
    <w:p w:rsidR="00000000" w:rsidDel="00000000" w:rsidP="00000000" w:rsidRDefault="00000000" w:rsidRPr="00000000" w14:paraId="00000071">
      <w:pPr>
        <w:widowControl w:val="1"/>
        <w:numPr>
          <w:ilvl w:val="2"/>
          <w:numId w:val="32"/>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bando di gara;</w:t>
      </w:r>
    </w:p>
    <w:p w:rsidR="00000000" w:rsidDel="00000000" w:rsidP="00000000" w:rsidRDefault="00000000" w:rsidRPr="00000000" w14:paraId="00000072">
      <w:pPr>
        <w:widowControl w:val="1"/>
        <w:numPr>
          <w:ilvl w:val="2"/>
          <w:numId w:val="32"/>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disciplinare di gara; </w:t>
      </w:r>
    </w:p>
    <w:p w:rsidR="00000000" w:rsidDel="00000000" w:rsidP="00000000" w:rsidRDefault="00000000" w:rsidRPr="00000000" w14:paraId="00000073">
      <w:pPr>
        <w:widowControl w:val="1"/>
        <w:numPr>
          <w:ilvl w:val="2"/>
          <w:numId w:val="32"/>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capitolato speciale d’appalto;</w:t>
      </w:r>
    </w:p>
    <w:p w:rsidR="00000000" w:rsidDel="00000000" w:rsidP="00000000" w:rsidRDefault="00000000" w:rsidRPr="00000000" w14:paraId="00000074">
      <w:pPr>
        <w:widowControl w:val="1"/>
        <w:numPr>
          <w:ilvl w:val="2"/>
          <w:numId w:val="32"/>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computo metrico;</w:t>
      </w:r>
    </w:p>
    <w:p w:rsidR="00000000" w:rsidDel="00000000" w:rsidP="00000000" w:rsidRDefault="00000000" w:rsidRPr="00000000" w14:paraId="00000075">
      <w:pPr>
        <w:widowControl w:val="1"/>
        <w:numPr>
          <w:ilvl w:val="2"/>
          <w:numId w:val="32"/>
        </w:numPr>
        <w:spacing w:after="60" w:before="60" w:line="276" w:lineRule="auto"/>
        <w:ind w:left="709" w:hanging="283"/>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schema di domanda di partecipazione;</w:t>
      </w:r>
      <w:r w:rsidDel="00000000" w:rsidR="00000000" w:rsidRPr="00000000">
        <w:rPr>
          <w:rtl w:val="0"/>
        </w:rPr>
      </w:r>
    </w:p>
    <w:p w:rsidR="00000000" w:rsidDel="00000000" w:rsidP="00000000" w:rsidRDefault="00000000" w:rsidRPr="00000000" w14:paraId="00000076">
      <w:pPr>
        <w:widowControl w:val="1"/>
        <w:numPr>
          <w:ilvl w:val="2"/>
          <w:numId w:val="32"/>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modello autodichiarazione ex DL 77-2021;</w:t>
      </w:r>
    </w:p>
    <w:p w:rsidR="00000000" w:rsidDel="00000000" w:rsidP="00000000" w:rsidRDefault="00000000" w:rsidRPr="00000000" w14:paraId="00000077">
      <w:pPr>
        <w:widowControl w:val="1"/>
        <w:numPr>
          <w:ilvl w:val="2"/>
          <w:numId w:val="32"/>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modello consenso interessato privacy;</w:t>
      </w:r>
    </w:p>
    <w:p w:rsidR="00000000" w:rsidDel="00000000" w:rsidP="00000000" w:rsidRDefault="00000000" w:rsidRPr="00000000" w14:paraId="00000078">
      <w:pPr>
        <w:widowControl w:val="1"/>
        <w:numPr>
          <w:ilvl w:val="2"/>
          <w:numId w:val="32"/>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modello protocollo di legalità;</w:t>
      </w:r>
    </w:p>
    <w:p w:rsidR="00000000" w:rsidDel="00000000" w:rsidP="00000000" w:rsidRDefault="00000000" w:rsidRPr="00000000" w14:paraId="00000079">
      <w:pPr>
        <w:widowControl w:val="1"/>
        <w:numPr>
          <w:ilvl w:val="2"/>
          <w:numId w:val="32"/>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documento di gara unico europeo in formato digitale (eDGUE);</w:t>
      </w:r>
    </w:p>
    <w:p w:rsidR="00000000" w:rsidDel="00000000" w:rsidP="00000000" w:rsidRDefault="00000000" w:rsidRPr="00000000" w14:paraId="0000007A">
      <w:pPr>
        <w:widowControl w:val="1"/>
        <w:spacing w:after="60" w:before="60" w:line="276" w:lineRule="auto"/>
        <w:rPr>
          <w:rFonts w:ascii="Titillium" w:cs="Titillium" w:eastAsia="Titillium" w:hAnsi="Titillium"/>
          <w:i w:val="1"/>
          <w:sz w:val="18"/>
          <w:szCs w:val="18"/>
        </w:rPr>
      </w:pPr>
      <w:r w:rsidDel="00000000" w:rsidR="00000000" w:rsidRPr="00000000">
        <w:rPr>
          <w:rFonts w:ascii="Titillium" w:cs="Titillium" w:eastAsia="Titillium" w:hAnsi="Titillium"/>
          <w:sz w:val="18"/>
          <w:szCs w:val="18"/>
          <w:rtl w:val="0"/>
        </w:rPr>
        <w:t xml:space="preserve">La documentazione di gara è accessibile gratuitamente, sul sito istituzionale della stazione appaltante, nella sezione “Amministrazione trasparente”, al seguente link: </w:t>
      </w:r>
      <w:hyperlink r:id="rId10">
        <w:r w:rsidDel="00000000" w:rsidR="00000000" w:rsidRPr="00000000">
          <w:rPr>
            <w:rFonts w:ascii="Titillium" w:cs="Titillium" w:eastAsia="Titillium" w:hAnsi="Titillium"/>
            <w:color w:val="000080"/>
            <w:sz w:val="18"/>
            <w:szCs w:val="18"/>
            <w:u w:val="single"/>
            <w:rtl w:val="0"/>
          </w:rPr>
          <w:t xml:space="preserve">https://sidraspa.portaletrasparenza.net/it/trasparenza/bandi-di-gara-e-contratti.html</w:t>
        </w:r>
      </w:hyperlink>
      <w:r w:rsidDel="00000000" w:rsidR="00000000" w:rsidRPr="00000000">
        <w:rPr>
          <w:rFonts w:ascii="Titillium" w:cs="Titillium" w:eastAsia="Titillium" w:hAnsi="Titillium"/>
          <w:sz w:val="18"/>
          <w:szCs w:val="18"/>
          <w:rtl w:val="0"/>
        </w:rPr>
        <w:t xml:space="preserve"> e sulla Piattaforma:</w:t>
      </w:r>
      <w:r w:rsidDel="00000000" w:rsidR="00000000" w:rsidRPr="00000000">
        <w:rPr>
          <w:rtl w:val="0"/>
        </w:rPr>
        <w:t xml:space="preserve"> </w:t>
      </w:r>
      <w:hyperlink r:id="rId11">
        <w:r w:rsidDel="00000000" w:rsidR="00000000" w:rsidRPr="00000000">
          <w:rPr>
            <w:rFonts w:ascii="Titillium" w:cs="Titillium" w:eastAsia="Titillium" w:hAnsi="Titillium"/>
            <w:color w:val="000080"/>
            <w:sz w:val="18"/>
            <w:szCs w:val="18"/>
            <w:u w:val="single"/>
            <w:rtl w:val="0"/>
          </w:rPr>
          <w:t xml:space="preserve">https://sidraspa.acquistitelematici.it/list/tender/procedure-gara</w:t>
        </w:r>
      </w:hyperlink>
      <w:r w:rsidDel="00000000" w:rsidR="00000000" w:rsidRPr="00000000">
        <w:rPr>
          <w:rFonts w:ascii="Titillium" w:cs="Titillium" w:eastAsia="Titillium" w:hAnsi="Titillium"/>
          <w:sz w:val="18"/>
          <w:szCs w:val="18"/>
          <w:rtl w:val="0"/>
        </w:rPr>
        <w:t xml:space="preserve"> </w:t>
      </w:r>
      <w:r w:rsidDel="00000000" w:rsidR="00000000" w:rsidRPr="00000000">
        <w:rPr>
          <w:rtl w:val="0"/>
        </w:rPr>
      </w:r>
    </w:p>
    <w:p w:rsidR="00000000" w:rsidDel="00000000" w:rsidP="00000000" w:rsidRDefault="00000000" w:rsidRPr="00000000" w14:paraId="0000007B">
      <w:pPr>
        <w:pStyle w:val="Heading4"/>
        <w:rPr>
          <w:rFonts w:ascii="Garamond" w:cs="Garamond" w:eastAsia="Garamond" w:hAnsi="Garamond"/>
          <w:smallCaps w:val="1"/>
          <w:sz w:val="22"/>
          <w:szCs w:val="22"/>
        </w:rPr>
      </w:pPr>
      <w:r w:rsidDel="00000000" w:rsidR="00000000" w:rsidRPr="00000000">
        <w:rPr>
          <w:rtl w:val="0"/>
        </w:rPr>
        <w:t xml:space="preserve">CHIARIMENTI</w:t>
      </w:r>
      <w:r w:rsidDel="00000000" w:rsidR="00000000" w:rsidRPr="00000000">
        <w:rPr>
          <w:rtl w:val="0"/>
        </w:rPr>
      </w:r>
    </w:p>
    <w:p w:rsidR="00000000" w:rsidDel="00000000" w:rsidP="00000000" w:rsidRDefault="00000000" w:rsidRPr="00000000" w14:paraId="0000007C">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É possibile ottenere chiarimenti sulla presente procedura mediante la proposizione di quesiti scritti da inoltrare almeno 7 giorni prima della scadenza del termine fissato per la presentazione delle offerte in via telematica attraverso la sezione della Piattaforma riservata alle richieste di chiarimenti, previa registrazione alla Piattaforma stessa.</w:t>
      </w:r>
      <w:r w:rsidDel="00000000" w:rsidR="00000000" w:rsidRPr="00000000">
        <w:rPr>
          <w:rtl w:val="0"/>
        </w:rPr>
      </w:r>
    </w:p>
    <w:p w:rsidR="00000000" w:rsidDel="00000000" w:rsidP="00000000" w:rsidRDefault="00000000" w:rsidRPr="00000000" w14:paraId="0000007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richieste di chiarimenti e le relative risposte sono formulate esclusivamente in lingua italiana.</w:t>
      </w:r>
    </w:p>
    <w:p w:rsidR="00000000" w:rsidDel="00000000" w:rsidP="00000000" w:rsidRDefault="00000000" w:rsidRPr="00000000" w14:paraId="0000007E">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Le risposte alle richieste di chiarimenti presentate in tempo utile sono fornite in formato elettronico almeno 4 giorni prima della scadenza del termine fissato per la presentazione delle offerte, mediante pubblicazione delle richieste in forma anonima e delle relative risposte sulla Piattaforma </w:t>
      </w:r>
      <w:hyperlink r:id="rId12">
        <w:r w:rsidDel="00000000" w:rsidR="00000000" w:rsidRPr="00000000">
          <w:rPr>
            <w:rFonts w:ascii="Titillium" w:cs="Titillium" w:eastAsia="Titillium" w:hAnsi="Titillium"/>
            <w:color w:val="000080"/>
            <w:sz w:val="18"/>
            <w:szCs w:val="18"/>
            <w:u w:val="single"/>
            <w:rtl w:val="0"/>
          </w:rPr>
          <w:t xml:space="preserve">https://sidraspa.acquistitelematici.it</w:t>
        </w:r>
      </w:hyperlink>
      <w:r w:rsidDel="00000000" w:rsidR="00000000" w:rsidRPr="00000000">
        <w:rPr>
          <w:rFonts w:ascii="Titillium" w:cs="Titillium" w:eastAsia="Titillium" w:hAnsi="Titillium"/>
          <w:sz w:val="18"/>
          <w:szCs w:val="18"/>
          <w:rtl w:val="0"/>
        </w:rPr>
        <w:t xml:space="preserve">.</w:t>
      </w:r>
      <w:r w:rsidDel="00000000" w:rsidR="00000000" w:rsidRPr="00000000">
        <w:rPr>
          <w:rFonts w:ascii="Titillium" w:cs="Titillium" w:eastAsia="Titillium" w:hAnsi="Titillium"/>
          <w:b w:val="1"/>
          <w:sz w:val="18"/>
          <w:szCs w:val="18"/>
          <w:rtl w:val="0"/>
        </w:rPr>
        <w:t xml:space="preserve"> </w:t>
      </w:r>
      <w:r w:rsidDel="00000000" w:rsidR="00000000" w:rsidRPr="00000000">
        <w:rPr>
          <w:rFonts w:ascii="Titillium" w:cs="Titillium" w:eastAsia="Titillium" w:hAnsi="Titillium"/>
          <w:sz w:val="18"/>
          <w:szCs w:val="18"/>
          <w:rtl w:val="0"/>
        </w:rPr>
        <w:t xml:space="preserve">Si invitano i concorrenti a visionare costantemente la Piattaforma o il sito istituzionale.</w:t>
      </w:r>
      <w:r w:rsidDel="00000000" w:rsidR="00000000" w:rsidRPr="00000000">
        <w:rPr>
          <w:rtl w:val="0"/>
        </w:rPr>
      </w:r>
    </w:p>
    <w:p w:rsidR="00000000" w:rsidDel="00000000" w:rsidP="00000000" w:rsidRDefault="00000000" w:rsidRPr="00000000" w14:paraId="0000007F">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Non viene fornita risposta alle richieste presentate con modalità diverse da quelle sopra indicate.</w:t>
      </w:r>
    </w:p>
    <w:p w:rsidR="00000000" w:rsidDel="00000000" w:rsidP="00000000" w:rsidRDefault="00000000" w:rsidRPr="00000000" w14:paraId="00000080">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81">
      <w:pPr>
        <w:pStyle w:val="Heading4"/>
        <w:rPr/>
      </w:pPr>
      <w:bookmarkStart w:colFirst="0" w:colLast="0" w:name="_heading=h.26in1rg" w:id="14"/>
      <w:bookmarkEnd w:id="14"/>
      <w:r w:rsidDel="00000000" w:rsidR="00000000" w:rsidRPr="00000000">
        <w:rPr>
          <w:rtl w:val="0"/>
        </w:rPr>
        <w:t xml:space="preserve">COMUNICAZIONI</w:t>
      </w:r>
    </w:p>
    <w:p w:rsidR="00000000" w:rsidDel="00000000" w:rsidP="00000000" w:rsidRDefault="00000000" w:rsidRPr="00000000" w14:paraId="00000082">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Tutte le comunicazioni e gli scambi di informazioni tra stazione appaltante e operatori economici sono eseguiti in conformità con quanto disposto dal decreto legislativo n. 82/05, tramite le piattaforme di approvvigionamento digitale e, per quanto non previsto dalle stesse, mediante utilizzo del domicilio digitale estratto da uno degli indici di cui agli articoli 6-bis, 6-ter, 6-quater, del decreto legislativo n. 82/05 o, per gli operatori economici transfrontalieri, attraverso un indirizzo di servizio elettronico di recapito certificato qualificato ai sensi del Regolamento eIDAS. </w:t>
      </w:r>
    </w:p>
    <w:p w:rsidR="00000000" w:rsidDel="00000000" w:rsidP="00000000" w:rsidRDefault="00000000" w:rsidRPr="00000000" w14:paraId="00000083">
      <w:pPr>
        <w:widowControl w:val="1"/>
        <w:spacing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In caso di malfunzionamento della piattaforma, la stazione appaltante provvederà all’invio di qualsiasi comunicazione al domicilio digitale presente negli indici di cui ai richiamati articoli 6-bis,6-ter, 6-quater del decreto legislativo n. 82/05.</w:t>
      </w:r>
      <w:r w:rsidDel="00000000" w:rsidR="00000000" w:rsidRPr="00000000">
        <w:rPr>
          <w:rtl w:val="0"/>
        </w:rPr>
      </w:r>
    </w:p>
    <w:p w:rsidR="00000000" w:rsidDel="00000000" w:rsidP="00000000" w:rsidRDefault="00000000" w:rsidRPr="00000000" w14:paraId="00000084">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In caso di raggruppamenti temporanei, GEIE, aggregazioni di rete o consorzi ordinari, anche se non ancora costituiti formalmente, gli operatori economici raggruppati, aggregati o consorziati eleggono domicilio digitale presso il mandatario/capofila al fine della ricezione delle comunicazioni relative alla presente procedura. </w:t>
      </w:r>
      <w:r w:rsidDel="00000000" w:rsidR="00000000" w:rsidRPr="00000000">
        <w:rPr>
          <w:rtl w:val="0"/>
        </w:rPr>
      </w:r>
    </w:p>
    <w:p w:rsidR="00000000" w:rsidDel="00000000" w:rsidP="00000000" w:rsidRDefault="00000000" w:rsidRPr="00000000" w14:paraId="00000085">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In caso di consorzi di cui all’art. 65 lett. b), c), d) del Codice, la comunicazione recapitata nei modi sopra indicati al consorzio si intende validamente resa a tutte le consorziate.</w:t>
      </w:r>
      <w:r w:rsidDel="00000000" w:rsidR="00000000" w:rsidRPr="00000000">
        <w:rPr>
          <w:rtl w:val="0"/>
        </w:rPr>
      </w:r>
    </w:p>
    <w:p w:rsidR="00000000" w:rsidDel="00000000" w:rsidP="00000000" w:rsidRDefault="00000000" w:rsidRPr="00000000" w14:paraId="00000086">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In caso di avvalimento, la comunicazione recapitata all’offerente nei modi sopra indicati si intende validamente resa a tutti gli operatori economici ausiliari.</w:t>
      </w:r>
      <w:r w:rsidDel="00000000" w:rsidR="00000000" w:rsidRPr="00000000">
        <w:rPr>
          <w:rtl w:val="0"/>
        </w:rPr>
      </w:r>
    </w:p>
    <w:p w:rsidR="00000000" w:rsidDel="00000000" w:rsidP="00000000" w:rsidRDefault="00000000" w:rsidRPr="00000000" w14:paraId="00000087">
      <w:pPr>
        <w:widowControl w:val="1"/>
        <w:spacing w:after="60" w:before="6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8">
      <w:pPr>
        <w:keepNext w:val="1"/>
        <w:widowControl w:val="1"/>
        <w:spacing w:after="60" w:before="60" w:line="276" w:lineRule="auto"/>
        <w:jc w:val="both"/>
        <w:rPr>
          <w:rFonts w:ascii="Garamond" w:cs="Garamond" w:eastAsia="Garamond" w:hAnsi="Garamond"/>
          <w:vertAlign w:val="superscript"/>
        </w:rPr>
      </w:pPr>
      <w:bookmarkStart w:colFirst="0" w:colLast="0" w:name="_heading=h.lnxbz9" w:id="15"/>
      <w:bookmarkEnd w:id="15"/>
      <w:r w:rsidDel="00000000" w:rsidR="00000000" w:rsidRPr="00000000">
        <w:rPr>
          <w:rFonts w:ascii="Titillium" w:cs="Titillium" w:eastAsia="Titillium" w:hAnsi="Titillium"/>
          <w:b w:val="1"/>
          <w:sz w:val="18"/>
          <w:szCs w:val="18"/>
          <w:rtl w:val="0"/>
        </w:rPr>
        <w:t xml:space="preserve">OGGETTO, CARATTERISTICHE DELL’APPALTO E IMPORTO </w:t>
      </w:r>
      <w:r w:rsidDel="00000000" w:rsidR="00000000" w:rsidRPr="00000000">
        <w:rPr>
          <w:rFonts w:ascii="Titillium" w:cs="Titillium" w:eastAsia="Titillium" w:hAnsi="Titillium"/>
          <w:sz w:val="18"/>
          <w:szCs w:val="18"/>
          <w:rtl w:val="0"/>
        </w:rPr>
        <w:t xml:space="preserve">L’appalto è costituito da un unico lotto poiché l’aggiudicazione ad un unico fornitore consente di migliorare l’efficacia e l’efficienza dell’intervento.</w:t>
      </w:r>
      <w:r w:rsidDel="00000000" w:rsidR="00000000" w:rsidRPr="00000000">
        <w:rPr>
          <w:rtl w:val="0"/>
        </w:rPr>
      </w:r>
    </w:p>
    <w:p w:rsidR="00000000" w:rsidDel="00000000" w:rsidP="00000000" w:rsidRDefault="00000000" w:rsidRPr="00000000" w14:paraId="00000089">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L’importo a base di gara comprende</w:t>
      </w:r>
      <w:r w:rsidDel="00000000" w:rsidR="00000000" w:rsidRPr="00000000">
        <w:rPr>
          <w:rtl w:val="0"/>
        </w:rPr>
      </w:r>
    </w:p>
    <w:p w:rsidR="00000000" w:rsidDel="00000000" w:rsidP="00000000" w:rsidRDefault="00000000" w:rsidRPr="00000000" w14:paraId="0000008A">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I costi della manodopera non sono soggetti al ribasso.</w:t>
      </w:r>
    </w:p>
    <w:p w:rsidR="00000000" w:rsidDel="00000000" w:rsidP="00000000" w:rsidRDefault="00000000" w:rsidRPr="00000000" w14:paraId="0000008B">
      <w:pPr>
        <w:widowControl w:val="1"/>
        <w:spacing w:after="60" w:before="60" w:line="276" w:lineRule="auto"/>
        <w:jc w:val="both"/>
        <w:rPr>
          <w:rFonts w:ascii="Titillium" w:cs="Titillium" w:eastAsia="Titillium" w:hAnsi="Titillium"/>
          <w:b w:val="1"/>
          <w:i w:val="1"/>
          <w:sz w:val="18"/>
          <w:szCs w:val="18"/>
        </w:rPr>
      </w:pPr>
      <w:r w:rsidDel="00000000" w:rsidR="00000000" w:rsidRPr="00000000">
        <w:rPr>
          <w:rFonts w:ascii="Titillium" w:cs="Titillium" w:eastAsia="Titillium" w:hAnsi="Titillium"/>
          <w:b w:val="1"/>
          <w:i w:val="1"/>
          <w:sz w:val="18"/>
          <w:szCs w:val="18"/>
          <w:rtl w:val="0"/>
        </w:rPr>
        <w:t xml:space="preserve">Gli oneri per la sicurezza ammontano ad € 0,00</w:t>
      </w:r>
    </w:p>
    <w:p w:rsidR="00000000" w:rsidDel="00000000" w:rsidP="00000000" w:rsidRDefault="00000000" w:rsidRPr="00000000" w14:paraId="0000008C">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b w:val="1"/>
          <w:sz w:val="18"/>
          <w:szCs w:val="18"/>
          <w:rtl w:val="0"/>
        </w:rPr>
        <w:t xml:space="preserve">L’importo complessivo Euro 730.000,00 al netto di</w:t>
      </w:r>
      <w:r w:rsidDel="00000000" w:rsidR="00000000" w:rsidRPr="00000000">
        <w:rPr>
          <w:rFonts w:ascii="Titillium" w:cs="Titillium" w:eastAsia="Titillium" w:hAnsi="Titillium"/>
          <w:b w:val="1"/>
          <w:i w:val="1"/>
          <w:sz w:val="18"/>
          <w:szCs w:val="18"/>
          <w:rtl w:val="0"/>
        </w:rPr>
        <w:t xml:space="preserve"> </w:t>
      </w:r>
      <w:r w:rsidDel="00000000" w:rsidR="00000000" w:rsidRPr="00000000">
        <w:rPr>
          <w:rFonts w:ascii="Titillium" w:cs="Titillium" w:eastAsia="Titillium" w:hAnsi="Titillium"/>
          <w:b w:val="1"/>
          <w:sz w:val="18"/>
          <w:szCs w:val="18"/>
          <w:rtl w:val="0"/>
        </w:rPr>
        <w:t xml:space="preserve">Iva</w:t>
      </w:r>
      <w:r w:rsidDel="00000000" w:rsidR="00000000" w:rsidRPr="00000000">
        <w:rPr>
          <w:rFonts w:ascii="Titillium" w:cs="Titillium" w:eastAsia="Titillium" w:hAnsi="Titillium"/>
          <w:sz w:val="18"/>
          <w:szCs w:val="18"/>
          <w:rtl w:val="0"/>
        </w:rPr>
        <w:t xml:space="preserve">.</w:t>
      </w:r>
    </w:p>
    <w:p w:rsidR="00000000" w:rsidDel="00000000" w:rsidP="00000000" w:rsidRDefault="00000000" w:rsidRPr="00000000" w14:paraId="0000008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contratto collettivo applicato è il CCNL Commercio </w:t>
      </w:r>
    </w:p>
    <w:p w:rsidR="00000000" w:rsidDel="00000000" w:rsidP="00000000" w:rsidRDefault="00000000" w:rsidRPr="00000000" w14:paraId="0000008E">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L’appalto è finanziato da </w:t>
      </w:r>
      <w:r w:rsidDel="00000000" w:rsidR="00000000" w:rsidRPr="00000000">
        <w:rPr>
          <w:rFonts w:ascii="Titillium" w:cs="Titillium" w:eastAsia="Titillium" w:hAnsi="Titillium"/>
          <w:b w:val="1"/>
          <w:sz w:val="18"/>
          <w:szCs w:val="18"/>
          <w:rtl w:val="0"/>
        </w:rPr>
        <w:t xml:space="preserve">SIDRA SpA</w:t>
      </w:r>
      <w:r w:rsidDel="00000000" w:rsidR="00000000" w:rsidRPr="00000000">
        <w:rPr>
          <w:rtl w:val="0"/>
        </w:rPr>
      </w:r>
    </w:p>
    <w:p w:rsidR="00000000" w:rsidDel="00000000" w:rsidP="00000000" w:rsidRDefault="00000000" w:rsidRPr="00000000" w14:paraId="0000008F">
      <w:pPr>
        <w:widowControl w:val="1"/>
        <w:spacing w:after="60" w:before="60" w:line="276" w:lineRule="auto"/>
        <w:jc w:val="both"/>
        <w:rPr>
          <w:rFonts w:ascii="Titillium" w:cs="Titillium" w:eastAsia="Titillium" w:hAnsi="Titillium"/>
          <w:b w:val="1"/>
          <w:i w:val="1"/>
        </w:rPr>
      </w:pPr>
      <w:r w:rsidDel="00000000" w:rsidR="00000000" w:rsidRPr="00000000">
        <w:rPr>
          <w:rtl w:val="0"/>
        </w:rPr>
      </w:r>
    </w:p>
    <w:p w:rsidR="00000000" w:rsidDel="00000000" w:rsidP="00000000" w:rsidRDefault="00000000" w:rsidRPr="00000000" w14:paraId="00000090">
      <w:pPr>
        <w:pStyle w:val="Heading4"/>
        <w:rPr>
          <w:rFonts w:ascii="Garamond" w:cs="Garamond" w:eastAsia="Garamond" w:hAnsi="Garamond"/>
          <w:sz w:val="22"/>
          <w:szCs w:val="22"/>
        </w:rPr>
      </w:pPr>
      <w:bookmarkStart w:colFirst="0" w:colLast="0" w:name="_heading=h.35nkun2" w:id="16"/>
      <w:bookmarkEnd w:id="16"/>
      <w:r w:rsidDel="00000000" w:rsidR="00000000" w:rsidRPr="00000000">
        <w:rPr>
          <w:rtl w:val="0"/>
        </w:rPr>
        <w:t xml:space="preserve">DURATA </w:t>
      </w:r>
      <w:r w:rsidDel="00000000" w:rsidR="00000000" w:rsidRPr="00000000">
        <w:rPr>
          <w:rtl w:val="0"/>
        </w:rPr>
      </w:r>
    </w:p>
    <w:p w:rsidR="00000000" w:rsidDel="00000000" w:rsidP="00000000" w:rsidRDefault="00000000" w:rsidRPr="00000000" w14:paraId="00000091">
      <w:pPr>
        <w:widowControl w:val="1"/>
        <w:spacing w:after="60" w:before="12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fornitura oggetto dell’appalto dovrà concludersi entro mesi 6 decorrenti dalla data di stipula del contratto. </w:t>
      </w:r>
    </w:p>
    <w:p w:rsidR="00000000" w:rsidDel="00000000" w:rsidP="00000000" w:rsidRDefault="00000000" w:rsidRPr="00000000" w14:paraId="00000092">
      <w:pPr>
        <w:widowControl w:val="1"/>
        <w:spacing w:after="60" w:before="12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93">
      <w:pPr>
        <w:pStyle w:val="Heading4"/>
        <w:rPr/>
      </w:pPr>
      <w:r w:rsidDel="00000000" w:rsidR="00000000" w:rsidRPr="00000000">
        <w:rPr>
          <w:rtl w:val="0"/>
        </w:rPr>
        <w:t xml:space="preserve">REVISIONE PREZZI</w:t>
      </w:r>
    </w:p>
    <w:p w:rsidR="00000000" w:rsidDel="00000000" w:rsidP="00000000" w:rsidRDefault="00000000" w:rsidRPr="00000000" w14:paraId="00000094">
      <w:pPr>
        <w:widowControl w:val="1"/>
        <w:spacing w:after="60" w:before="12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Qualora nel corso di esecuzione del contratto, al verificarsi di particolari condizioni di natura oggettiva, si determina una variazione, in aumento o in diminuzione, dei beni e/o del costo del servizio superiore al cinque per cento, dell’importo complessivo, i prezzi sono aggiornati, nella misura dell’ottanta per cento della variazione, in relazione alle prestazioni da eseguire. </w:t>
      </w:r>
    </w:p>
    <w:p w:rsidR="00000000" w:rsidDel="00000000" w:rsidP="00000000" w:rsidRDefault="00000000" w:rsidRPr="00000000" w14:paraId="00000095">
      <w:pPr>
        <w:widowControl w:val="1"/>
        <w:spacing w:after="60" w:before="12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Ai fini del calcolo della variazione dei prezzi si utilizza l’indice ISTAT dei prezzi di produzione all’industria mensili.</w:t>
      </w:r>
    </w:p>
    <w:p w:rsidR="00000000" w:rsidDel="00000000" w:rsidP="00000000" w:rsidRDefault="00000000" w:rsidRPr="00000000" w14:paraId="00000096">
      <w:pPr>
        <w:widowControl w:val="1"/>
        <w:spacing w:after="60" w:before="12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97">
      <w:pPr>
        <w:pStyle w:val="Heading4"/>
        <w:rPr/>
      </w:pPr>
      <w:r w:rsidDel="00000000" w:rsidR="00000000" w:rsidRPr="00000000">
        <w:rPr>
          <w:rtl w:val="0"/>
        </w:rPr>
        <w:t xml:space="preserve">MODIFICA DEL CONTRATTO IN FASE DI ESECUZIONE</w:t>
      </w:r>
    </w:p>
    <w:p w:rsidR="00000000" w:rsidDel="00000000" w:rsidP="00000000" w:rsidRDefault="00000000" w:rsidRPr="00000000" w14:paraId="00000098">
      <w:pPr>
        <w:widowControl w:val="1"/>
        <w:spacing w:after="60" w:before="60" w:line="276" w:lineRule="auto"/>
        <w:jc w:val="both"/>
        <w:rPr>
          <w:rFonts w:ascii="Titillium" w:cs="Titillium" w:eastAsia="Titillium" w:hAnsi="Titillium"/>
          <w:sz w:val="18"/>
          <w:szCs w:val="18"/>
        </w:rPr>
      </w:pPr>
      <w:bookmarkStart w:colFirst="0" w:colLast="0" w:name="_heading=h.1ksv4uv" w:id="17"/>
      <w:bookmarkEnd w:id="17"/>
      <w:r w:rsidDel="00000000" w:rsidR="00000000" w:rsidRPr="00000000">
        <w:rPr>
          <w:rFonts w:ascii="Titillium" w:cs="Titillium" w:eastAsia="Titillium" w:hAnsi="Titillium"/>
          <w:b w:val="1"/>
          <w:sz w:val="18"/>
          <w:szCs w:val="18"/>
          <w:rtl w:val="0"/>
        </w:rPr>
        <w:t xml:space="preserve">Variazione fino a concorrenza del quinto dell’importo del contratto: </w:t>
      </w:r>
      <w:r w:rsidDel="00000000" w:rsidR="00000000" w:rsidRPr="00000000">
        <w:rPr>
          <w:rFonts w:ascii="Titillium" w:cs="Titillium" w:eastAsia="Titillium" w:hAnsi="Titillium"/>
          <w:sz w:val="18"/>
          <w:szCs w:val="18"/>
          <w:rtl w:val="0"/>
        </w:rPr>
        <w:t xml:space="preserve">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 </w:t>
      </w:r>
    </w:p>
    <w:p w:rsidR="00000000" w:rsidDel="00000000" w:rsidP="00000000" w:rsidRDefault="00000000" w:rsidRPr="00000000" w14:paraId="00000099">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b w:val="1"/>
          <w:sz w:val="18"/>
          <w:szCs w:val="18"/>
          <w:rtl w:val="0"/>
        </w:rPr>
        <w:t xml:space="preserve">Modifiche del contratto ai sensi dell’articolo 120, comma 1, lettera a) del Codice: </w:t>
      </w:r>
      <w:r w:rsidDel="00000000" w:rsidR="00000000" w:rsidRPr="00000000">
        <w:rPr>
          <w:rFonts w:ascii="Titillium" w:cs="Titillium" w:eastAsia="Titillium" w:hAnsi="Titillium"/>
          <w:sz w:val="18"/>
          <w:szCs w:val="18"/>
          <w:rtl w:val="0"/>
        </w:rPr>
        <w:t xml:space="preserve">la stazione appaltante si riserva di modificare</w:t>
      </w:r>
      <w:r w:rsidDel="00000000" w:rsidR="00000000" w:rsidRPr="00000000">
        <w:rPr>
          <w:rFonts w:ascii="Titillium" w:cs="Titillium" w:eastAsia="Titillium" w:hAnsi="Titillium"/>
          <w:b w:val="1"/>
          <w:sz w:val="18"/>
          <w:szCs w:val="18"/>
          <w:rtl w:val="0"/>
        </w:rPr>
        <w:t xml:space="preserve"> i</w:t>
      </w:r>
      <w:r w:rsidDel="00000000" w:rsidR="00000000" w:rsidRPr="00000000">
        <w:rPr>
          <w:rFonts w:ascii="Titillium" w:cs="Titillium" w:eastAsia="Titillium" w:hAnsi="Titillium"/>
          <w:sz w:val="18"/>
          <w:szCs w:val="18"/>
          <w:rtl w:val="0"/>
        </w:rPr>
        <w:t xml:space="preserve">l contratto in corso di esecuzione, senza una nuova procedura, qualora sopravvenga la necessità di forniture/ supplementari, non previsti nell’appalto iniziale, a condizione che un cambiamento del contraente risulti impraticabile per motivi economici o tecnici e, al contempo, comporti per la stazione appaltante notevoli disagi o un sostanziale incremento dei costi. Il compenso dell’affidatario viene conseguentemente aggiornato all’importo finale dei lavori applicandosi il ribasso offerto in gara relativamente alle attività individuate dalla stazione appaltante.</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425"/>
          <w:tab w:val="left" w:leader="none" w:pos="851"/>
          <w:tab w:val="left" w:leader="none" w:pos="1276"/>
        </w:tabs>
        <w:spacing w:after="60" w:before="60" w:line="280" w:lineRule="auto"/>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Il contratto può essere modificato anche nell’ipotesi di varianti in corso d’opera, da intendersi come modifiche rese necessarie in corso di esecuzione per effetto di circostanze imprevedibili dalla stazione appaltante, compresa la sopravvenienza di disposizioni legislative o regolamentari o provvedimenti di autorità o enti preposti alla tutela di interessi rilevanti. Il compenso dell’affidatario viene conseguentemente aggiornato all’importo finale dei lavori applicandosi il ribasso offerto in gara relativamente alle attività individuate dalla stazione appaltante.</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425"/>
          <w:tab w:val="left" w:leader="none" w:pos="851"/>
          <w:tab w:val="left" w:leader="none" w:pos="1276"/>
        </w:tabs>
        <w:spacing w:after="60" w:before="60" w:line="280" w:lineRule="auto"/>
        <w:jc w:val="both"/>
        <w:rPr>
          <w:rFonts w:ascii="Arial" w:cs="Arial" w:eastAsia="Arial" w:hAnsi="Arial"/>
          <w:color w:val="000000"/>
          <w:sz w:val="20"/>
          <w:szCs w:val="20"/>
        </w:rPr>
      </w:pPr>
      <w:r w:rsidDel="00000000" w:rsidR="00000000" w:rsidRPr="00000000">
        <w:rPr>
          <w:rFonts w:ascii="Titillium" w:cs="Titillium" w:eastAsia="Titillium" w:hAnsi="Titillium"/>
          <w:color w:val="000000"/>
          <w:sz w:val="18"/>
          <w:szCs w:val="18"/>
          <w:rtl w:val="0"/>
        </w:rPr>
        <w:t xml:space="preserve">In entrambi i casi, è consentita la modifica a condizione che non venga modificato il valore del contratto</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9C">
      <w:pPr>
        <w:widowControl w:val="1"/>
        <w:spacing w:after="60" w:before="60" w:line="276" w:lineRule="auto"/>
        <w:jc w:val="both"/>
        <w:rPr>
          <w:rFonts w:ascii="Titillium" w:cs="Titillium" w:eastAsia="Titillium" w:hAnsi="Titillium"/>
          <w:i w:val="1"/>
          <w:sz w:val="18"/>
          <w:szCs w:val="18"/>
        </w:rPr>
      </w:pPr>
      <w:r w:rsidDel="00000000" w:rsidR="00000000" w:rsidRPr="00000000">
        <w:rPr>
          <w:rtl w:val="0"/>
        </w:rPr>
      </w:r>
    </w:p>
    <w:p w:rsidR="00000000" w:rsidDel="00000000" w:rsidP="00000000" w:rsidRDefault="00000000" w:rsidRPr="00000000" w14:paraId="0000009D">
      <w:pPr>
        <w:widowControl w:val="1"/>
        <w:spacing w:after="60" w:before="60" w:line="276" w:lineRule="auto"/>
        <w:jc w:val="both"/>
        <w:rPr>
          <w:rFonts w:ascii="Garamond" w:cs="Garamond" w:eastAsia="Garamond" w:hAnsi="Garamond"/>
          <w:i w:val="1"/>
        </w:rPr>
      </w:pPr>
      <w:r w:rsidDel="00000000" w:rsidR="00000000" w:rsidRPr="00000000">
        <w:rPr>
          <w:rFonts w:ascii="Titillium" w:cs="Titillium" w:eastAsia="Titillium" w:hAnsi="Titillium"/>
          <w:sz w:val="18"/>
          <w:szCs w:val="18"/>
          <w:rtl w:val="0"/>
        </w:rPr>
        <w:t xml:space="preserve">Il </w:t>
      </w:r>
      <w:r w:rsidDel="00000000" w:rsidR="00000000" w:rsidRPr="00000000">
        <w:rPr>
          <w:rFonts w:ascii="Titillium" w:cs="Titillium" w:eastAsia="Titillium" w:hAnsi="Titillium"/>
          <w:b w:val="1"/>
          <w:sz w:val="18"/>
          <w:szCs w:val="18"/>
          <w:rtl w:val="0"/>
        </w:rPr>
        <w:t xml:space="preserve">valore globale stimato</w:t>
      </w:r>
      <w:r w:rsidDel="00000000" w:rsidR="00000000" w:rsidRPr="00000000">
        <w:rPr>
          <w:rFonts w:ascii="Titillium" w:cs="Titillium" w:eastAsia="Titillium" w:hAnsi="Titillium"/>
          <w:sz w:val="18"/>
          <w:szCs w:val="18"/>
          <w:rtl w:val="0"/>
        </w:rPr>
        <w:t xml:space="preserve"> dell’appalto è pari ad </w:t>
      </w:r>
      <w:r w:rsidDel="00000000" w:rsidR="00000000" w:rsidRPr="00000000">
        <w:rPr>
          <w:rFonts w:ascii="Titillium" w:cs="Titillium" w:eastAsia="Titillium" w:hAnsi="Titillium"/>
          <w:b w:val="1"/>
          <w:sz w:val="18"/>
          <w:szCs w:val="18"/>
          <w:rtl w:val="0"/>
        </w:rPr>
        <w:t xml:space="preserve">€ 730.000,00 oltre iva</w:t>
      </w:r>
      <w:r w:rsidDel="00000000" w:rsidR="00000000" w:rsidRPr="00000000">
        <w:rPr>
          <w:rFonts w:ascii="Titillium" w:cs="Titillium" w:eastAsia="Titillium" w:hAnsi="Titillium"/>
          <w:sz w:val="18"/>
          <w:szCs w:val="18"/>
          <w:rtl w:val="0"/>
        </w:rPr>
        <w:t xml:space="preserve">.</w:t>
      </w:r>
      <w:r w:rsidDel="00000000" w:rsidR="00000000" w:rsidRPr="00000000">
        <w:rPr>
          <w:rtl w:val="0"/>
        </w:rPr>
      </w:r>
    </w:p>
    <w:p w:rsidR="00000000" w:rsidDel="00000000" w:rsidP="00000000" w:rsidRDefault="00000000" w:rsidRPr="00000000" w14:paraId="0000009E">
      <w:pPr>
        <w:widowControl w:val="1"/>
        <w:spacing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9F">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44sinio" w:id="18"/>
      <w:bookmarkEnd w:id="18"/>
      <w:r w:rsidDel="00000000" w:rsidR="00000000" w:rsidRPr="00000000">
        <w:rPr>
          <w:rFonts w:ascii="Titillium" w:cs="Titillium" w:eastAsia="Titillium" w:hAnsi="Titillium"/>
          <w:b w:val="1"/>
          <w:smallCaps w:val="1"/>
          <w:sz w:val="18"/>
          <w:szCs w:val="18"/>
          <w:rtl w:val="0"/>
        </w:rPr>
        <w:t xml:space="preserve">SOGGETTI AMMESSI IN FORMA SINGOLA E ASSOCIATA E CONDIZIONI DI PARTECIPAZIONE</w:t>
      </w:r>
      <w:r w:rsidDel="00000000" w:rsidR="00000000" w:rsidRPr="00000000">
        <w:rPr>
          <w:rtl w:val="0"/>
        </w:rPr>
      </w:r>
    </w:p>
    <w:p w:rsidR="00000000" w:rsidDel="00000000" w:rsidP="00000000" w:rsidRDefault="00000000" w:rsidRPr="00000000" w14:paraId="000000A0">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Gli operatori economici possono partecipare alla presente gara in forma singola o associata.</w:t>
      </w:r>
    </w:p>
    <w:p w:rsidR="00000000" w:rsidDel="00000000" w:rsidP="00000000" w:rsidRDefault="00000000" w:rsidRPr="00000000" w14:paraId="000000A1">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Ai soggetti costituiti in forma associata si applicano le disposizioni di cui agli articoli 67 e 68 del Codice. </w:t>
      </w:r>
    </w:p>
    <w:p w:rsidR="00000000" w:rsidDel="00000000" w:rsidP="00000000" w:rsidRDefault="00000000" w:rsidRPr="00000000" w14:paraId="000000A2">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 consorzi di cui agli articoli 65, comma 2 del Codice che intendono eseguire le prestazioni tramite i propri consorziati sono tenuti ad indicare per quali consorziati il consorzio concorre.</w:t>
      </w:r>
    </w:p>
    <w:p w:rsidR="00000000" w:rsidDel="00000000" w:rsidP="00000000" w:rsidRDefault="00000000" w:rsidRPr="00000000" w14:paraId="000000A3">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 consorzi di cui all’articolo 65, comma 2, lettere b) e c) sono tenuti ad indicare per quali consorziati il consorzio concorre.</w:t>
      </w:r>
    </w:p>
    <w:p w:rsidR="00000000" w:rsidDel="00000000" w:rsidP="00000000" w:rsidRDefault="00000000" w:rsidRPr="00000000" w14:paraId="000000A4">
      <w:pPr>
        <w:widowControl w:val="1"/>
        <w:spacing w:after="60" w:before="60" w:line="276" w:lineRule="auto"/>
        <w:jc w:val="both"/>
        <w:rPr>
          <w:rFonts w:ascii="Titillium" w:cs="Titillium" w:eastAsia="Titillium" w:hAnsi="Titillium"/>
          <w:sz w:val="18"/>
          <w:szCs w:val="18"/>
        </w:rPr>
      </w:pPr>
      <w:bookmarkStart w:colFirst="0" w:colLast="0" w:name="_heading=h.2jxsxqh" w:id="19"/>
      <w:bookmarkEnd w:id="19"/>
      <w:r w:rsidDel="00000000" w:rsidR="00000000" w:rsidRPr="00000000">
        <w:rPr>
          <w:rFonts w:ascii="Titillium" w:cs="Titillium" w:eastAsia="Titillium" w:hAnsi="Titillium"/>
          <w:sz w:val="18"/>
          <w:szCs w:val="18"/>
          <w:rtl w:val="0"/>
        </w:rPr>
        <w:t xml:space="preserve">Il concorrente che partecipa alla gara in una delle forme di seguito indicate è escluso nel caso in cui la stazione appaltante accerti la sussistenza di rilevanti indizi tali da far ritenere che le offerte degli operatori economici siano imputabili ad un unico centro decisionale a cagione di accordi intercorsi con altri operatori economici partecipanti alla stessa gara:</w:t>
      </w:r>
    </w:p>
    <w:p w:rsidR="00000000" w:rsidDel="00000000" w:rsidP="00000000" w:rsidRDefault="00000000" w:rsidRPr="00000000" w14:paraId="000000A5">
      <w:pPr>
        <w:widowControl w:val="1"/>
        <w:numPr>
          <w:ilvl w:val="0"/>
          <w:numId w:val="27"/>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partecipazione in più</w:t>
      </w:r>
      <w:r w:rsidDel="00000000" w:rsidR="00000000" w:rsidRPr="00000000">
        <w:rPr>
          <w:rFonts w:ascii="Titillium" w:cs="Titillium" w:eastAsia="Titillium" w:hAnsi="Titillium"/>
          <w:b w:val="1"/>
          <w:sz w:val="18"/>
          <w:szCs w:val="18"/>
          <w:rtl w:val="0"/>
        </w:rPr>
        <w:t xml:space="preserve"> </w:t>
      </w:r>
      <w:r w:rsidDel="00000000" w:rsidR="00000000" w:rsidRPr="00000000">
        <w:rPr>
          <w:rFonts w:ascii="Titillium" w:cs="Titillium" w:eastAsia="Titillium" w:hAnsi="Titillium"/>
          <w:sz w:val="18"/>
          <w:szCs w:val="18"/>
          <w:rtl w:val="0"/>
        </w:rPr>
        <w:t xml:space="preserve">di un raggruppamento temporaneo o consorzio ordinario di concorrenti o aggregazione di operatori economici aderenti al contratto di rete (nel prosieguo, aggregazione di retisti);</w:t>
      </w:r>
    </w:p>
    <w:p w:rsidR="00000000" w:rsidDel="00000000" w:rsidP="00000000" w:rsidRDefault="00000000" w:rsidRPr="00000000" w14:paraId="000000A6">
      <w:pPr>
        <w:widowControl w:val="1"/>
        <w:numPr>
          <w:ilvl w:val="0"/>
          <w:numId w:val="27"/>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partecipazione sia in raggruppamento o consorzio ordinario di concorrenti sia in forma individuale:</w:t>
      </w:r>
    </w:p>
    <w:p w:rsidR="00000000" w:rsidDel="00000000" w:rsidP="00000000" w:rsidRDefault="00000000" w:rsidRPr="00000000" w14:paraId="000000A7">
      <w:pPr>
        <w:widowControl w:val="1"/>
        <w:numPr>
          <w:ilvl w:val="0"/>
          <w:numId w:val="27"/>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partecipazione sia in aggregazione di retisti sia in forma individuale. Tale esclusione non si applica alle retiste non partecipanti all’aggregazione, le quali possono presentare offerta, per la medesima gara, in forma singola o associata;</w:t>
      </w:r>
    </w:p>
    <w:p w:rsidR="00000000" w:rsidDel="00000000" w:rsidP="00000000" w:rsidRDefault="00000000" w:rsidRPr="00000000" w14:paraId="000000A8">
      <w:pPr>
        <w:widowControl w:val="1"/>
        <w:numPr>
          <w:ilvl w:val="0"/>
          <w:numId w:val="27"/>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partecipazione di un consorzio che ha designato un consorziato esecutore il quale, a sua volta, partecipa in una qualsiasi altra forma.</w:t>
      </w:r>
    </w:p>
    <w:p w:rsidR="00000000" w:rsidDel="00000000" w:rsidP="00000000" w:rsidRDefault="00000000" w:rsidRPr="00000000" w14:paraId="000000A9">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venga accertato quanto sopra, si provvede ad informare gli operatori economici coinvolti i quali possono, entro 2</w:t>
      </w:r>
      <w:r w:rsidDel="00000000" w:rsidR="00000000" w:rsidRPr="00000000">
        <w:rPr>
          <w:rFonts w:ascii="Titillium" w:cs="Titillium" w:eastAsia="Titillium" w:hAnsi="Titillium"/>
          <w:i w:val="1"/>
          <w:sz w:val="18"/>
          <w:szCs w:val="18"/>
          <w:rtl w:val="0"/>
        </w:rPr>
        <w:t xml:space="preserve"> </w:t>
      </w:r>
      <w:r w:rsidDel="00000000" w:rsidR="00000000" w:rsidRPr="00000000">
        <w:rPr>
          <w:rFonts w:ascii="Titillium" w:cs="Titillium" w:eastAsia="Titillium" w:hAnsi="Titillium"/>
          <w:sz w:val="18"/>
          <w:szCs w:val="18"/>
          <w:rtl w:val="0"/>
        </w:rPr>
        <w:t xml:space="preserve">giorni, dimostrare che la circostanza non ha influito sulla gara, né è idonea a incidere sulla capacità di rispettare gli obblighi contrattuali. </w:t>
      </w:r>
    </w:p>
    <w:p w:rsidR="00000000" w:rsidDel="00000000" w:rsidP="00000000" w:rsidRDefault="00000000" w:rsidRPr="00000000" w14:paraId="000000AA">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z337ya" w:id="20"/>
      <w:bookmarkEnd w:id="20"/>
      <w:r w:rsidDel="00000000" w:rsidR="00000000" w:rsidRPr="00000000">
        <w:rPr>
          <w:rFonts w:ascii="Titillium" w:cs="Titillium" w:eastAsia="Titillium" w:hAnsi="Titillium"/>
          <w:b w:val="1"/>
          <w:smallCaps w:val="1"/>
          <w:sz w:val="18"/>
          <w:szCs w:val="18"/>
          <w:rtl w:val="0"/>
        </w:rPr>
        <w:t xml:space="preserve">REQUISITI DI ORDINE GENERALE E ALTRE CAUSE DI ESCLUSIONE</w:t>
      </w:r>
      <w:r w:rsidDel="00000000" w:rsidR="00000000" w:rsidRPr="00000000">
        <w:rPr>
          <w:rtl w:val="0"/>
        </w:rPr>
      </w:r>
    </w:p>
    <w:p w:rsidR="00000000" w:rsidDel="00000000" w:rsidP="00000000" w:rsidRDefault="00000000" w:rsidRPr="00000000" w14:paraId="000000AB">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 concorrenti devono essere in possesso, a pena di esclusione, dei requisiti di ordine generale previsti dal Codice nonché degli ulteriori requisiti indicati nel presente articolo.</w:t>
      </w:r>
    </w:p>
    <w:p w:rsidR="00000000" w:rsidDel="00000000" w:rsidP="00000000" w:rsidRDefault="00000000" w:rsidRPr="00000000" w14:paraId="000000AC">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stazione appaltante verifica il possesso dei requisiti di ordine generale accedendo al fascicolo virtuale dell’operatore economico (di seguito: FVOE).</w:t>
      </w:r>
    </w:p>
    <w:p w:rsidR="00000000" w:rsidDel="00000000" w:rsidP="00000000" w:rsidRDefault="00000000" w:rsidRPr="00000000" w14:paraId="000000AD">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circostanze di cui all’articolo 94 del Codice sono cause di esclusione automatica. La sussistenza delle circostanze di cui all’articolo 95 del Codice è accertata previo contraddittorio con l’operatore economico.</w:t>
      </w:r>
    </w:p>
    <w:p w:rsidR="00000000" w:rsidDel="00000000" w:rsidP="00000000" w:rsidRDefault="00000000" w:rsidRPr="00000000" w14:paraId="000000AE">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In caso di partecipazione di consorzi di cui all’articolo 65, comma 2, lettere b) e c) del Codice, i requisiti di cui al punto 5 sono posseduti dal consorzio e dalle consorziate indicate quali esecutrici.</w:t>
      </w:r>
    </w:p>
    <w:p w:rsidR="00000000" w:rsidDel="00000000" w:rsidP="00000000" w:rsidRDefault="00000000" w:rsidRPr="00000000" w14:paraId="000000AF">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In caso di partecipazione di consorzi stabili di cui all’articolo 65, comma 2, lett. d) del Codice, i requisiti di cui al punto 5 sono posseduti dal consorzio, dalle consorziate indicate quali esecutrici e dalle consorziate che prestano i requisiti.</w:t>
      </w:r>
    </w:p>
    <w:p w:rsidR="00000000" w:rsidDel="00000000" w:rsidP="00000000" w:rsidRDefault="00000000" w:rsidRPr="00000000" w14:paraId="000000B0">
      <w:pPr>
        <w:widowControl w:val="1"/>
        <w:spacing w:before="6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0B1">
      <w:pPr>
        <w:widowControl w:val="1"/>
        <w:spacing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Self cleaning</w:t>
      </w:r>
    </w:p>
    <w:p w:rsidR="00000000" w:rsidDel="00000000" w:rsidP="00000000" w:rsidRDefault="00000000" w:rsidRPr="00000000" w14:paraId="000000B2">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Un operatore economico che si trovi in una delle situazioni di cui agli articoli 94 e 95 del Codice, ad eccezione delle irregolarità contributive e fiscali definitivamente e non definitivamente accertate, può fornire prova di aver adottato misure (c.d. self cleaning) sufficienti a dimostrare la sua affidabilità. </w:t>
      </w:r>
    </w:p>
    <w:p w:rsidR="00000000" w:rsidDel="00000000" w:rsidP="00000000" w:rsidRDefault="00000000" w:rsidRPr="00000000" w14:paraId="000000B3">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la causa di esclusione si è verificata prima della presentazione dell’offerta, l’operatore economico indica nell’eDGUE la causa ostativa e, alternativamente:</w:t>
      </w:r>
    </w:p>
    <w:p w:rsidR="00000000" w:rsidDel="00000000" w:rsidP="00000000" w:rsidRDefault="00000000" w:rsidRPr="00000000" w14:paraId="000000B4">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 descrive le misure adottate ai sensi dell’articolo 96, comma 6 del Codice;</w:t>
      </w:r>
    </w:p>
    <w:p w:rsidR="00000000" w:rsidDel="00000000" w:rsidP="00000000" w:rsidRDefault="00000000" w:rsidRPr="00000000" w14:paraId="000000B5">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 motiva l’impossibilità ad adottare dette misure e si impegna a provvedere successivamente. L’adozione delle misure è comunicata alla stazione appaltante. </w:t>
      </w:r>
    </w:p>
    <w:p w:rsidR="00000000" w:rsidDel="00000000" w:rsidP="00000000" w:rsidRDefault="00000000" w:rsidRPr="00000000" w14:paraId="000000B6">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la causa di esclusione si è verificata successivamente alla presentazione dell’offerta, l’operatore economico adotta le misure di cui al comma 6 dell’articolo 96 del Codice dandone comunicazione alla stazione appaltante.</w:t>
      </w:r>
    </w:p>
    <w:p w:rsidR="00000000" w:rsidDel="00000000" w:rsidP="00000000" w:rsidRDefault="00000000" w:rsidRPr="00000000" w14:paraId="000000B7">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p>
    <w:p w:rsidR="00000000" w:rsidDel="00000000" w:rsidP="00000000" w:rsidRDefault="00000000" w:rsidRPr="00000000" w14:paraId="000000B8">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le misure adottate sono ritenute sufficienti e tempestive, l’operatore economico non è escluso. Se dette misure sono ritenute insufficienti e intempestive, la stazione appaltante ne comunica le ragioni all’operatore economico. </w:t>
      </w:r>
    </w:p>
    <w:p w:rsidR="00000000" w:rsidDel="00000000" w:rsidP="00000000" w:rsidRDefault="00000000" w:rsidRPr="00000000" w14:paraId="000000B9">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Non può avvalersi del self-cleaning l’operatore economico escluso con sentenza definitiva dalla partecipazione alle procedure di affidamento o di concessione, nel corso del periodo di esclusione derivante da tale sentenza.</w:t>
      </w:r>
    </w:p>
    <w:p w:rsidR="00000000" w:rsidDel="00000000" w:rsidP="00000000" w:rsidRDefault="00000000" w:rsidRPr="00000000" w14:paraId="000000BA">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in cui un raggruppamento/consorzio abbia estromesso o sostituito un partecipante/esecutore interessato da una clausola di esclusione di cui agli articoli 94 e 95 del Codice, si valutano le misure adottate ai sensi dell’articolo 97 del Codice al fine di decidere sull’esclusione. </w:t>
      </w:r>
    </w:p>
    <w:p w:rsidR="00000000" w:rsidDel="00000000" w:rsidP="00000000" w:rsidRDefault="00000000" w:rsidRPr="00000000" w14:paraId="000000BB">
      <w:pPr>
        <w:widowControl w:val="1"/>
        <w:spacing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BC">
      <w:pPr>
        <w:widowControl w:val="1"/>
        <w:spacing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Altre cause di esclusione</w:t>
      </w:r>
    </w:p>
    <w:p w:rsidR="00000000" w:rsidDel="00000000" w:rsidP="00000000" w:rsidRDefault="00000000" w:rsidRPr="00000000" w14:paraId="000000BD">
      <w:pPr>
        <w:widowControl w:val="1"/>
        <w:spacing w:after="60" w:before="12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Sono esclusi gli</w:t>
      </w:r>
      <w:r w:rsidDel="00000000" w:rsidR="00000000" w:rsidRPr="00000000">
        <w:rPr>
          <w:rFonts w:ascii="Titillium" w:cs="Titillium" w:eastAsia="Titillium" w:hAnsi="Titillium"/>
          <w:b w:val="1"/>
          <w:sz w:val="18"/>
          <w:szCs w:val="18"/>
          <w:rtl w:val="0"/>
        </w:rPr>
        <w:t xml:space="preserve"> </w:t>
      </w:r>
      <w:r w:rsidDel="00000000" w:rsidR="00000000" w:rsidRPr="00000000">
        <w:rPr>
          <w:rFonts w:ascii="Titillium" w:cs="Titillium" w:eastAsia="Titillium" w:hAnsi="Titillium"/>
          <w:sz w:val="18"/>
          <w:szCs w:val="18"/>
          <w:rtl w:val="0"/>
        </w:rPr>
        <w:t xml:space="preserve">operatori economici che abbiano affidato incarichi in violazione dell’articolo 53, comma 16-ter, del decreto legislativo del 2001 n. 165 a soggetti che hanno esercitato, in qualità di dipendenti, poteri autoritativi o negoziali presso l’amministrazione affidante negli ultimi tre anni. </w:t>
      </w:r>
      <w:r w:rsidDel="00000000" w:rsidR="00000000" w:rsidRPr="00000000">
        <w:rPr>
          <w:rtl w:val="0"/>
        </w:rPr>
      </w:r>
    </w:p>
    <w:p w:rsidR="00000000" w:rsidDel="00000000" w:rsidP="00000000" w:rsidRDefault="00000000" w:rsidRPr="00000000" w14:paraId="000000BE">
      <w:pPr>
        <w:widowControl w:val="1"/>
        <w:spacing w:after="60" w:before="12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mancata accettazione delle clausole contenute nel protocollo di legalità/patto di integrità e il mancato rispetto dello stesso costituiscono causa di esclusione dalla gara, ai sensi dell’articolo 83-bis del decreto legislativo n. 159/2011. </w:t>
      </w:r>
    </w:p>
    <w:p w:rsidR="00000000" w:rsidDel="00000000" w:rsidP="00000000" w:rsidRDefault="00000000" w:rsidRPr="00000000" w14:paraId="000000BF">
      <w:pPr>
        <w:widowControl w:val="1"/>
        <w:spacing w:after="120" w:line="276" w:lineRule="auto"/>
        <w:jc w:val="both"/>
        <w:rPr>
          <w:rFonts w:ascii="Titillium" w:cs="Titillium" w:eastAsia="Titillium" w:hAnsi="Titillium"/>
          <w:b w:val="1"/>
          <w:i w:val="1"/>
          <w:sz w:val="18"/>
          <w:szCs w:val="18"/>
        </w:rPr>
      </w:pPr>
      <w:r w:rsidDel="00000000" w:rsidR="00000000" w:rsidRPr="00000000">
        <w:rPr>
          <w:rFonts w:ascii="Titillium" w:cs="Titillium" w:eastAsia="Titillium" w:hAnsi="Titillium"/>
          <w:sz w:val="18"/>
          <w:szCs w:val="18"/>
          <w:rtl w:val="0"/>
        </w:rPr>
        <w:t xml:space="preserve">Sono esclusi dalla procedura di gara  gli operatori economici che occupano oltre cinquanta dipendenti, che non consegnano, al momento della presentazione dell'offerta, copia dell'ultimo rapporto periodico sulla situazione del personale maschile e femminile redatto ai sensi dell’articolo 46, decreto legislativo n. 198 del 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r w:rsidDel="00000000" w:rsidR="00000000" w:rsidRPr="00000000">
        <w:rPr>
          <w:rFonts w:ascii="Titillium" w:cs="Titillium" w:eastAsia="Titillium" w:hAnsi="Titillium"/>
          <w:b w:val="1"/>
          <w:i w:val="1"/>
          <w:sz w:val="18"/>
          <w:szCs w:val="18"/>
          <w:rtl w:val="0"/>
        </w:rPr>
        <w:t xml:space="preserve"> </w:t>
      </w:r>
    </w:p>
    <w:p w:rsidR="00000000" w:rsidDel="00000000" w:rsidP="00000000" w:rsidRDefault="00000000" w:rsidRPr="00000000" w14:paraId="000000C0">
      <w:pPr>
        <w:widowControl w:val="1"/>
        <w:spacing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Sono esclusi dalla procedura di gara gli operatori economici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o di un precedente contratto riservato ai sensi dell’articolo 61 del codice, la relazione di cui all’articolo 47, comma 3 del decreto legge n. 77 del 2021.</w:t>
      </w:r>
    </w:p>
    <w:p w:rsidR="00000000" w:rsidDel="00000000" w:rsidP="00000000" w:rsidRDefault="00000000" w:rsidRPr="00000000" w14:paraId="000000C1">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3j2qqm3" w:id="21"/>
      <w:bookmarkEnd w:id="21"/>
      <w:r w:rsidDel="00000000" w:rsidR="00000000" w:rsidRPr="00000000">
        <w:rPr>
          <w:rFonts w:ascii="Titillium" w:cs="Titillium" w:eastAsia="Titillium" w:hAnsi="Titillium"/>
          <w:b w:val="1"/>
          <w:smallCaps w:val="1"/>
          <w:sz w:val="18"/>
          <w:szCs w:val="18"/>
          <w:rtl w:val="0"/>
        </w:rPr>
        <w:t xml:space="preserve">REQUISITI DI ORDINE SPECIALE E </w:t>
      </w:r>
      <w:r w:rsidDel="00000000" w:rsidR="00000000" w:rsidRPr="00000000">
        <w:rPr>
          <w:rFonts w:ascii="Titillium" w:cs="Titillium" w:eastAsia="Titillium" w:hAnsi="Titillium"/>
          <w:b w:val="1"/>
          <w:sz w:val="18"/>
          <w:szCs w:val="18"/>
          <w:rtl w:val="0"/>
        </w:rPr>
        <w:t xml:space="preserve">MEZZI DI PROVA</w:t>
      </w:r>
      <w:r w:rsidDel="00000000" w:rsidR="00000000" w:rsidRPr="00000000">
        <w:rPr>
          <w:rtl w:val="0"/>
        </w:rPr>
      </w:r>
    </w:p>
    <w:p w:rsidR="00000000" w:rsidDel="00000000" w:rsidP="00000000" w:rsidRDefault="00000000" w:rsidRPr="00000000" w14:paraId="000000C2">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 concorrenti devono possedere, a pena di esclusione, i requisiti previsti nei commi seguenti. </w:t>
      </w:r>
    </w:p>
    <w:p w:rsidR="00000000" w:rsidDel="00000000" w:rsidP="00000000" w:rsidRDefault="00000000" w:rsidRPr="00000000" w14:paraId="000000C3">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stazione appaltante verifica il possesso dei requisiti di ordine speciale accedendo al fascicolo virtuale dell’operatore economico (FVOE). </w:t>
      </w:r>
    </w:p>
    <w:p w:rsidR="00000000" w:rsidDel="00000000" w:rsidP="00000000" w:rsidRDefault="00000000" w:rsidRPr="00000000" w14:paraId="000000C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rsidR="00000000" w:rsidDel="00000000" w:rsidP="00000000" w:rsidRDefault="00000000" w:rsidRPr="00000000" w14:paraId="000000C5">
      <w:pPr>
        <w:pStyle w:val="Heading4"/>
        <w:rPr>
          <w:rFonts w:ascii="Garamond" w:cs="Garamond" w:eastAsia="Garamond" w:hAnsi="Garamond"/>
          <w:smallCaps w:val="1"/>
          <w:sz w:val="22"/>
          <w:szCs w:val="22"/>
        </w:rPr>
      </w:pPr>
      <w:bookmarkStart w:colFirst="0" w:colLast="0" w:name="_heading=h.1y810tw" w:id="22"/>
      <w:bookmarkEnd w:id="22"/>
      <w:r w:rsidDel="00000000" w:rsidR="00000000" w:rsidRPr="00000000">
        <w:rPr>
          <w:rtl w:val="0"/>
        </w:rPr>
        <w:t xml:space="preserve">REQUISITI DI IDONEITÀ PROFESSIONALE</w:t>
      </w:r>
      <w:r w:rsidDel="00000000" w:rsidR="00000000" w:rsidRPr="00000000">
        <w:rPr>
          <w:rtl w:val="0"/>
        </w:rPr>
      </w:r>
    </w:p>
    <w:p w:rsidR="00000000" w:rsidDel="00000000" w:rsidP="00000000" w:rsidRDefault="00000000" w:rsidRPr="00000000" w14:paraId="000000C6">
      <w:pPr>
        <w:widowControl w:val="1"/>
        <w:numPr>
          <w:ilvl w:val="0"/>
          <w:numId w:val="39"/>
        </w:numPr>
        <w:spacing w:after="60" w:before="60" w:line="276" w:lineRule="auto"/>
        <w:ind w:left="284" w:hanging="284"/>
        <w:jc w:val="both"/>
        <w:rPr>
          <w:rFonts w:ascii="Garamond" w:cs="Garamond" w:eastAsia="Garamond" w:hAnsi="Garamond"/>
        </w:rPr>
      </w:pPr>
      <w:bookmarkStart w:colFirst="0" w:colLast="0" w:name="_heading=h.4i7ojhp" w:id="23"/>
      <w:bookmarkEnd w:id="23"/>
      <w:r w:rsidDel="00000000" w:rsidR="00000000" w:rsidRPr="00000000">
        <w:rPr>
          <w:rFonts w:ascii="Titillium" w:cs="Titillium" w:eastAsia="Titillium" w:hAnsi="Titillium"/>
          <w:sz w:val="18"/>
          <w:szCs w:val="18"/>
          <w:rtl w:val="0"/>
        </w:rPr>
        <w:t xml:space="preserve">Iscrizione nel Registro delle Imprese oppure nell’Albo delle Imprese artigiane per attività pertinenti con quelle oggetto della presente procedura di gara.</w:t>
      </w:r>
      <w:r w:rsidDel="00000000" w:rsidR="00000000" w:rsidRPr="00000000">
        <w:rPr>
          <w:rtl w:val="0"/>
        </w:rPr>
      </w:r>
    </w:p>
    <w:p w:rsidR="00000000" w:rsidDel="00000000" w:rsidP="00000000" w:rsidRDefault="00000000" w:rsidRPr="00000000" w14:paraId="000000C7">
      <w:pPr>
        <w:widowControl w:val="1"/>
        <w:spacing w:after="60" w:before="60" w:line="276" w:lineRule="auto"/>
        <w:ind w:left="284" w:firstLine="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Per l’operatore economico di altro Stato membro, non residente in Italia: iscrizione in uno dei registri professionali o commerciali degli altri Stati membri di cui all’allegato II.11 del Codice;</w:t>
      </w:r>
    </w:p>
    <w:p w:rsidR="00000000" w:rsidDel="00000000" w:rsidP="00000000" w:rsidRDefault="00000000" w:rsidRPr="00000000" w14:paraId="000000C8">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Ai fini della comprova, l’iscrizione nel Registro è acquisita d’ufficio dalla stazione appaltante tramite il FVOE. Gli operatori stabiliti in altri Stati membri caricano nel fascicolo virtuale i dati e le informazioni utili alla comprova del requisito, se disponibili.</w:t>
      </w:r>
    </w:p>
    <w:p w:rsidR="00000000" w:rsidDel="00000000" w:rsidP="00000000" w:rsidRDefault="00000000" w:rsidRPr="00000000" w14:paraId="000000C9">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CA">
      <w:pPr>
        <w:pStyle w:val="Heading4"/>
        <w:rPr>
          <w:rFonts w:ascii="Garamond" w:cs="Garamond" w:eastAsia="Garamond" w:hAnsi="Garamond"/>
          <w:smallCaps w:val="1"/>
          <w:sz w:val="22"/>
          <w:szCs w:val="22"/>
        </w:rPr>
      </w:pPr>
      <w:bookmarkStart w:colFirst="0" w:colLast="0" w:name="_heading=h.2xcytpi" w:id="24"/>
      <w:bookmarkEnd w:id="24"/>
      <w:r w:rsidDel="00000000" w:rsidR="00000000" w:rsidRPr="00000000">
        <w:rPr>
          <w:rtl w:val="0"/>
        </w:rPr>
        <w:t xml:space="preserve">REQUISITI DI CAPACITÀ ECONOMICA E FINANZIARIA  </w:t>
      </w:r>
      <w:r w:rsidDel="00000000" w:rsidR="00000000" w:rsidRPr="00000000">
        <w:rPr>
          <w:rtl w:val="0"/>
        </w:rPr>
      </w:r>
    </w:p>
    <w:p w:rsidR="00000000" w:rsidDel="00000000" w:rsidP="00000000" w:rsidRDefault="00000000" w:rsidRPr="00000000" w14:paraId="000000CB">
      <w:pPr>
        <w:widowControl w:val="1"/>
        <w:numPr>
          <w:ilvl w:val="0"/>
          <w:numId w:val="20"/>
        </w:numPr>
        <w:spacing w:after="60" w:before="60" w:line="276" w:lineRule="auto"/>
        <w:ind w:left="284" w:hanging="284"/>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Fatturato globale maturato negli ultimi tre anni precedenti all’anno di pubblicazione del bando pari all’importo a base d’asta. </w:t>
      </w:r>
    </w:p>
    <w:p w:rsidR="00000000" w:rsidDel="00000000" w:rsidP="00000000" w:rsidRDefault="00000000" w:rsidRPr="00000000" w14:paraId="000000CC">
      <w:pPr>
        <w:widowControl w:val="1"/>
        <w:spacing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comprova del fatturato globale maturato negli ultimi tre anni è fornita mediante uno dei seguenti documenti:</w:t>
      </w:r>
      <w:r w:rsidDel="00000000" w:rsidR="00000000" w:rsidRPr="00000000">
        <w:rPr>
          <w:rtl w:val="0"/>
        </w:rPr>
      </w:r>
    </w:p>
    <w:p w:rsidR="00000000" w:rsidDel="00000000" w:rsidP="00000000" w:rsidRDefault="00000000" w:rsidRPr="00000000" w14:paraId="000000CD">
      <w:pPr>
        <w:widowControl w:val="1"/>
        <w:numPr>
          <w:ilvl w:val="0"/>
          <w:numId w:val="19"/>
        </w:numPr>
        <w:spacing w:line="276" w:lineRule="auto"/>
        <w:ind w:left="4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per le società di capitali mediante bilanci, o estratti di essi, approvati alla data di scadenza del termine per la presentazione delle offerte corredati della nota integrativa; </w:t>
      </w:r>
      <w:r w:rsidDel="00000000" w:rsidR="00000000" w:rsidRPr="00000000">
        <w:rPr>
          <w:rtl w:val="0"/>
        </w:rPr>
      </w:r>
    </w:p>
    <w:p w:rsidR="00000000" w:rsidDel="00000000" w:rsidP="00000000" w:rsidRDefault="00000000" w:rsidRPr="00000000" w14:paraId="000000CE">
      <w:pPr>
        <w:widowControl w:val="1"/>
        <w:numPr>
          <w:ilvl w:val="0"/>
          <w:numId w:val="19"/>
        </w:numPr>
        <w:spacing w:line="276" w:lineRule="auto"/>
        <w:ind w:left="4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per gli operatori economici costituiti in forma d’impresa individuale ovvero di società di persone mediante copia del Modello Unico o la Dichiarazione IVA;</w:t>
      </w:r>
    </w:p>
    <w:p w:rsidR="00000000" w:rsidDel="00000000" w:rsidP="00000000" w:rsidRDefault="00000000" w:rsidRPr="00000000" w14:paraId="000000CF">
      <w:pPr>
        <w:widowControl w:val="1"/>
        <w:numPr>
          <w:ilvl w:val="0"/>
          <w:numId w:val="19"/>
        </w:numPr>
        <w:spacing w:after="60" w:line="276" w:lineRule="auto"/>
        <w:ind w:left="419" w:hanging="357"/>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dichiarazione resa, ai sensi e per gli effetti dell’articolo 47 del decreto del Presidente della Repubblica n. 445/2000, dal soggetto o organo preposto al controllo contabile della società ove presente (sia esso il Collegio sindacale, il revisore contabile o la società di revisione), attestante la misura (importo) del fatturato dichiarato in sede di partecipazione.</w:t>
      </w:r>
      <w:r w:rsidDel="00000000" w:rsidR="00000000" w:rsidRPr="00000000">
        <w:rPr>
          <w:rtl w:val="0"/>
        </w:rPr>
      </w:r>
    </w:p>
    <w:p w:rsidR="00000000" w:rsidDel="00000000" w:rsidP="00000000" w:rsidRDefault="00000000" w:rsidRPr="00000000" w14:paraId="000000D0">
      <w:pPr>
        <w:widowControl w:val="1"/>
        <w:spacing w:after="60" w:before="60" w:line="276" w:lineRule="auto"/>
        <w:ind w:left="284" w:firstLine="0"/>
        <w:jc w:val="both"/>
        <w:rPr>
          <w:rFonts w:ascii="Titillium" w:cs="Titillium" w:eastAsia="Titillium" w:hAnsi="Titillium"/>
          <w:b w:val="1"/>
          <w:i w:val="1"/>
          <w:sz w:val="18"/>
          <w:szCs w:val="18"/>
        </w:rPr>
      </w:pPr>
      <w:bookmarkStart w:colFirst="0" w:colLast="0" w:name="_heading=h.1ci93xb" w:id="25"/>
      <w:bookmarkEnd w:id="25"/>
      <w:r w:rsidDel="00000000" w:rsidR="00000000" w:rsidRPr="00000000">
        <w:rPr>
          <w:rFonts w:ascii="Titillium" w:cs="Titillium" w:eastAsia="Titillium" w:hAnsi="Titillium"/>
          <w:sz w:val="18"/>
          <w:szCs w:val="18"/>
          <w:rtl w:val="0"/>
        </w:rPr>
        <w:t xml:space="preserve">Per le imprese che abbiano iniziato l’attività da meno di tre anni, il requisito di fatturato è rapportato al periodo di attività effettivamente svolto. </w:t>
      </w:r>
      <w:r w:rsidDel="00000000" w:rsidR="00000000" w:rsidRPr="00000000">
        <w:rPr>
          <w:rtl w:val="0"/>
        </w:rPr>
      </w:r>
    </w:p>
    <w:p w:rsidR="00000000" w:rsidDel="00000000" w:rsidP="00000000" w:rsidRDefault="00000000" w:rsidRPr="00000000" w14:paraId="000000D1">
      <w:pPr>
        <w:pStyle w:val="Heading4"/>
        <w:rPr>
          <w:smallCaps w:val="1"/>
        </w:rPr>
      </w:pPr>
      <w:bookmarkStart w:colFirst="0" w:colLast="0" w:name="_heading=h.3whwml4" w:id="26"/>
      <w:bookmarkEnd w:id="26"/>
      <w:r w:rsidDel="00000000" w:rsidR="00000000" w:rsidRPr="00000000">
        <w:rPr>
          <w:rtl w:val="0"/>
        </w:rPr>
        <w:t xml:space="preserve">REQUISITI DI CAPACITÀ TECNICA E PROFESSIONALE</w:t>
      </w:r>
      <w:r w:rsidDel="00000000" w:rsidR="00000000" w:rsidRPr="00000000">
        <w:rPr>
          <w:rtl w:val="0"/>
        </w:rPr>
      </w:r>
    </w:p>
    <w:p w:rsidR="00000000" w:rsidDel="00000000" w:rsidP="00000000" w:rsidRDefault="00000000" w:rsidRPr="00000000" w14:paraId="000000D2">
      <w:pPr>
        <w:widowControl w:val="1"/>
        <w:numPr>
          <w:ilvl w:val="0"/>
          <w:numId w:val="6"/>
        </w:numPr>
        <w:spacing w:after="60" w:before="60" w:line="276" w:lineRule="auto"/>
        <w:ind w:left="284" w:hanging="284"/>
        <w:jc w:val="both"/>
        <w:rPr>
          <w:rFonts w:ascii="Garamond" w:cs="Garamond" w:eastAsia="Garamond" w:hAnsi="Garamond"/>
          <w:b w:val="1"/>
        </w:rPr>
      </w:pPr>
      <w:bookmarkStart w:colFirst="0" w:colLast="0" w:name="_heading=h.2bn6wsx" w:id="27"/>
      <w:bookmarkEnd w:id="27"/>
      <w:r w:rsidDel="00000000" w:rsidR="00000000" w:rsidRPr="00000000">
        <w:rPr>
          <w:rFonts w:ascii="Titillium" w:cs="Titillium" w:eastAsia="Titillium" w:hAnsi="Titillium"/>
          <w:b w:val="1"/>
          <w:sz w:val="18"/>
          <w:szCs w:val="18"/>
          <w:rtl w:val="0"/>
        </w:rPr>
        <w:t xml:space="preserve">Esecuzione di forniture analoghe</w:t>
      </w:r>
      <w:r w:rsidDel="00000000" w:rsidR="00000000" w:rsidRPr="00000000">
        <w:rPr>
          <w:rFonts w:ascii="Titillium" w:cs="Titillium" w:eastAsia="Titillium" w:hAnsi="Titillium"/>
          <w:sz w:val="18"/>
          <w:szCs w:val="18"/>
          <w:rtl w:val="0"/>
        </w:rPr>
        <w:t xml:space="preserve"> </w:t>
      </w:r>
      <w:r w:rsidDel="00000000" w:rsidR="00000000" w:rsidRPr="00000000">
        <w:rPr>
          <w:rFonts w:ascii="Titillium" w:cs="Titillium" w:eastAsia="Titillium" w:hAnsi="Titillium"/>
          <w:b w:val="1"/>
          <w:sz w:val="18"/>
          <w:szCs w:val="18"/>
          <w:rtl w:val="0"/>
        </w:rPr>
        <w:t xml:space="preserve">negli ultimi 3 anni precedenti all’anno di pubblicazione del bando per un fatturato complessivo minimo pari almeno al 50% dell’importo a base d’asta.</w:t>
      </w:r>
      <w:r w:rsidDel="00000000" w:rsidR="00000000" w:rsidRPr="00000000">
        <w:rPr>
          <w:rtl w:val="0"/>
        </w:rPr>
      </w:r>
    </w:p>
    <w:p w:rsidR="00000000" w:rsidDel="00000000" w:rsidP="00000000" w:rsidRDefault="00000000" w:rsidRPr="00000000" w14:paraId="000000D3">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partecipante deve aver eseguito, nel triennio antecedente l’anno di pubblicazione del bando di gara, fatturato complessivo per forniture analoghe regolarmente eseguite pari o superiore all’importo a base di gara.</w:t>
      </w:r>
    </w:p>
    <w:p w:rsidR="00000000" w:rsidDel="00000000" w:rsidP="00000000" w:rsidRDefault="00000000" w:rsidRPr="00000000" w14:paraId="000000D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Per forniture analoghe si intendono le apparecchiature elettriche necessarie per la trasmissione dell’energia elettrica.</w:t>
      </w:r>
    </w:p>
    <w:p w:rsidR="00000000" w:rsidDel="00000000" w:rsidP="00000000" w:rsidRDefault="00000000" w:rsidRPr="00000000" w14:paraId="000000D5">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comprova del requisito è fornita mediante uno o più dei seguenti documenti:</w:t>
      </w:r>
      <w:r w:rsidDel="00000000" w:rsidR="00000000" w:rsidRPr="00000000">
        <w:rPr>
          <w:rtl w:val="0"/>
        </w:rPr>
      </w:r>
    </w:p>
    <w:p w:rsidR="00000000" w:rsidDel="00000000" w:rsidP="00000000" w:rsidRDefault="00000000" w:rsidRPr="00000000" w14:paraId="000000D6">
      <w:pPr>
        <w:widowControl w:val="1"/>
        <w:numPr>
          <w:ilvl w:val="0"/>
          <w:numId w:val="2"/>
        </w:numPr>
        <w:tabs>
          <w:tab w:val="left" w:leader="none" w:pos="426"/>
        </w:tabs>
        <w:spacing w:after="60" w:before="60" w:line="276" w:lineRule="auto"/>
        <w:ind w:left="426"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certificati rilasciati dall’amministrazione/ente contraente, con l’indicazione dell’oggetto, dell’importo e del periodo di esecuzione;</w:t>
      </w:r>
    </w:p>
    <w:p w:rsidR="00000000" w:rsidDel="00000000" w:rsidP="00000000" w:rsidRDefault="00000000" w:rsidRPr="00000000" w14:paraId="000000D7">
      <w:pPr>
        <w:widowControl w:val="1"/>
        <w:numPr>
          <w:ilvl w:val="0"/>
          <w:numId w:val="2"/>
        </w:numPr>
        <w:tabs>
          <w:tab w:val="left" w:leader="none" w:pos="426"/>
        </w:tabs>
        <w:spacing w:after="60" w:before="60" w:line="276" w:lineRule="auto"/>
        <w:ind w:left="426"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contratti stipulati con le amministrazioni pubbliche, completi di copia delle fatture quietanzate ovvero dei documenti bancari attestanti il pagamento delle stesse;</w:t>
      </w:r>
    </w:p>
    <w:p w:rsidR="00000000" w:rsidDel="00000000" w:rsidP="00000000" w:rsidRDefault="00000000" w:rsidRPr="00000000" w14:paraId="000000D8">
      <w:pPr>
        <w:widowControl w:val="1"/>
        <w:numPr>
          <w:ilvl w:val="0"/>
          <w:numId w:val="2"/>
        </w:numPr>
        <w:tabs>
          <w:tab w:val="left" w:leader="none" w:pos="426"/>
        </w:tabs>
        <w:spacing w:after="60" w:before="60" w:line="276" w:lineRule="auto"/>
        <w:ind w:left="426"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attestazioni rilasciate dal committente privato, con l’indicazione dell’oggetto, dell’importo e del periodo di esecuzione;</w:t>
      </w:r>
    </w:p>
    <w:p w:rsidR="00000000" w:rsidDel="00000000" w:rsidP="00000000" w:rsidRDefault="00000000" w:rsidRPr="00000000" w14:paraId="000000D9">
      <w:pPr>
        <w:widowControl w:val="1"/>
        <w:numPr>
          <w:ilvl w:val="0"/>
          <w:numId w:val="2"/>
        </w:numPr>
        <w:tabs>
          <w:tab w:val="left" w:leader="none" w:pos="426"/>
        </w:tabs>
        <w:spacing w:after="60" w:before="60" w:line="276" w:lineRule="auto"/>
        <w:ind w:left="426"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contratti stipulati con privati, completi di copia delle fatture quietanzate ovvero dei documenti bancari attestanti il pagamento delle stesse.</w:t>
      </w:r>
    </w:p>
    <w:p w:rsidR="00000000" w:rsidDel="00000000" w:rsidP="00000000" w:rsidRDefault="00000000" w:rsidRPr="00000000" w14:paraId="000000DA">
      <w:pPr>
        <w:widowControl w:val="1"/>
        <w:spacing w:after="60" w:before="60" w:line="276" w:lineRule="auto"/>
        <w:ind w:left="284" w:firstLine="0"/>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0DB">
      <w:pPr>
        <w:pStyle w:val="Heading4"/>
        <w:rPr/>
      </w:pPr>
      <w:bookmarkStart w:colFirst="0" w:colLast="0" w:name="_heading=h.qsh70q" w:id="28"/>
      <w:bookmarkEnd w:id="28"/>
      <w:r w:rsidDel="00000000" w:rsidR="00000000" w:rsidRPr="00000000">
        <w:rPr>
          <w:rtl w:val="0"/>
        </w:rPr>
        <w:t xml:space="preserve">INDICAZIONI SUI REQUISITI SPECIALI NEI RAGGRUPPAMENTI TEMPORANEI, CONSORZI ORDINARI, AGGREGAZIONI DI IMPRESE DI RETE, GEIE</w:t>
      </w:r>
    </w:p>
    <w:p w:rsidR="00000000" w:rsidDel="00000000" w:rsidP="00000000" w:rsidRDefault="00000000" w:rsidRPr="00000000" w14:paraId="000000DC">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 soggetti di cui all’articolo 65, comma 2, lettera e), f) g) e h) del Codice devono possedere i requisiti di ordine speciale nei termini di seguito indicati. </w:t>
      </w:r>
    </w:p>
    <w:p w:rsidR="00000000" w:rsidDel="00000000" w:rsidP="00000000" w:rsidRDefault="00000000" w:rsidRPr="00000000" w14:paraId="000000D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Alle aggregazioni di retisti, ai consorzi ordinari ed ai GEIE si applica la disciplina prevista per i raggruppamenti temporanei. </w:t>
      </w:r>
    </w:p>
    <w:p w:rsidR="00000000" w:rsidDel="00000000" w:rsidP="00000000" w:rsidRDefault="00000000" w:rsidRPr="00000000" w14:paraId="000000DE">
      <w:pPr>
        <w:widowControl w:val="1"/>
        <w:spacing w:after="60" w:before="6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0DF">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Requisiti di idoneità professionale</w:t>
      </w:r>
    </w:p>
    <w:p w:rsidR="00000000" w:rsidDel="00000000" w:rsidP="00000000" w:rsidRDefault="00000000" w:rsidRPr="00000000" w14:paraId="000000E0">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Il requisito relativo all’iscrizione nel Registro delle Imprese oppure nell’Albo delle Imprese artigiane deve essere posseduto:</w:t>
      </w:r>
      <w:r w:rsidDel="00000000" w:rsidR="00000000" w:rsidRPr="00000000">
        <w:rPr>
          <w:rtl w:val="0"/>
        </w:rPr>
      </w:r>
    </w:p>
    <w:p w:rsidR="00000000" w:rsidDel="00000000" w:rsidP="00000000" w:rsidRDefault="00000000" w:rsidRPr="00000000" w14:paraId="000000E1">
      <w:pPr>
        <w:widowControl w:val="1"/>
        <w:numPr>
          <w:ilvl w:val="0"/>
          <w:numId w:val="26"/>
        </w:numPr>
        <w:spacing w:after="60" w:before="60" w:line="276" w:lineRule="auto"/>
        <w:ind w:left="709"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da ciascun componente del raggruppamento/consorzio/GEIE anche da costituire, nonché dal GEIE medesimo;</w:t>
      </w:r>
      <w:r w:rsidDel="00000000" w:rsidR="00000000" w:rsidRPr="00000000">
        <w:rPr>
          <w:rtl w:val="0"/>
        </w:rPr>
      </w:r>
    </w:p>
    <w:p w:rsidR="00000000" w:rsidDel="00000000" w:rsidP="00000000" w:rsidRDefault="00000000" w:rsidRPr="00000000" w14:paraId="000000E2">
      <w:pPr>
        <w:widowControl w:val="1"/>
        <w:numPr>
          <w:ilvl w:val="0"/>
          <w:numId w:val="26"/>
        </w:numPr>
        <w:spacing w:after="60" w:before="60" w:line="276" w:lineRule="auto"/>
        <w:ind w:left="709"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da ciascun componente dell’aggregazione di rete nonché dall’organo comune nel caso in cui questi abbia soggettività giuridica.</w:t>
      </w:r>
    </w:p>
    <w:p w:rsidR="00000000" w:rsidDel="00000000" w:rsidP="00000000" w:rsidRDefault="00000000" w:rsidRPr="00000000" w14:paraId="000000E3">
      <w:pPr>
        <w:widowControl w:val="1"/>
        <w:spacing w:after="60" w:before="60" w:line="276" w:lineRule="auto"/>
        <w:jc w:val="both"/>
        <w:rPr>
          <w:rFonts w:ascii="Titillium" w:cs="Titillium" w:eastAsia="Titillium" w:hAnsi="Titillium"/>
          <w:b w:val="1"/>
          <w:i w:val="1"/>
          <w:sz w:val="18"/>
          <w:szCs w:val="18"/>
        </w:rPr>
      </w:pPr>
      <w:r w:rsidDel="00000000" w:rsidR="00000000" w:rsidRPr="00000000">
        <w:rPr>
          <w:rtl w:val="0"/>
        </w:rPr>
      </w:r>
    </w:p>
    <w:p w:rsidR="00000000" w:rsidDel="00000000" w:rsidP="00000000" w:rsidRDefault="00000000" w:rsidRPr="00000000" w14:paraId="000000E4">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Requisiti di capacità economico finanziaria</w:t>
      </w:r>
    </w:p>
    <w:p w:rsidR="00000000" w:rsidDel="00000000" w:rsidP="00000000" w:rsidRDefault="00000000" w:rsidRPr="00000000" w14:paraId="000000E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requisito relativo al fatturato globale</w:t>
      </w:r>
      <w:r w:rsidDel="00000000" w:rsidR="00000000" w:rsidRPr="00000000">
        <w:rPr>
          <w:rFonts w:ascii="Titillium" w:cs="Titillium" w:eastAsia="Titillium" w:hAnsi="Titillium"/>
          <w:i w:val="1"/>
          <w:sz w:val="18"/>
          <w:szCs w:val="18"/>
          <w:rtl w:val="0"/>
        </w:rPr>
        <w:t xml:space="preserve"> </w:t>
      </w:r>
      <w:r w:rsidDel="00000000" w:rsidR="00000000" w:rsidRPr="00000000">
        <w:rPr>
          <w:rFonts w:ascii="Titillium" w:cs="Titillium" w:eastAsia="Titillium" w:hAnsi="Titillium"/>
          <w:sz w:val="18"/>
          <w:szCs w:val="18"/>
          <w:rtl w:val="0"/>
        </w:rPr>
        <w:t xml:space="preserve">deve essere soddisfatto dal raggruppamento temporaneo nel complesso.</w:t>
      </w:r>
    </w:p>
    <w:p w:rsidR="00000000" w:rsidDel="00000000" w:rsidP="00000000" w:rsidRDefault="00000000" w:rsidRPr="00000000" w14:paraId="000000E6">
      <w:pPr>
        <w:widowControl w:val="1"/>
        <w:spacing w:after="60" w:before="6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7">
      <w:pPr>
        <w:widowControl w:val="1"/>
        <w:spacing w:after="60" w:before="6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0E8">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Requisiti di capacità tecnico-professionale</w:t>
      </w:r>
    </w:p>
    <w:p w:rsidR="00000000" w:rsidDel="00000000" w:rsidP="00000000" w:rsidRDefault="00000000" w:rsidRPr="00000000" w14:paraId="000000E9">
      <w:pPr>
        <w:widowControl w:val="1"/>
        <w:numPr>
          <w:ilvl w:val="2"/>
          <w:numId w:val="9"/>
        </w:numPr>
        <w:spacing w:after="60" w:before="60" w:line="276" w:lineRule="auto"/>
        <w:ind w:left="284" w:hanging="284"/>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Il requisito dei servizi/forniture analoghi/è richiesto in relazione alla prestazione oggetto della procedura deve essere posseduto dal raggruppamento nel complesso.</w:t>
      </w:r>
      <w:r w:rsidDel="00000000" w:rsidR="00000000" w:rsidRPr="00000000">
        <w:rPr>
          <w:rtl w:val="0"/>
        </w:rPr>
      </w:r>
    </w:p>
    <w:p w:rsidR="00000000" w:rsidDel="00000000" w:rsidP="00000000" w:rsidRDefault="00000000" w:rsidRPr="00000000" w14:paraId="000000EA">
      <w:pPr>
        <w:widowControl w:val="1"/>
        <w:spacing w:after="60" w:before="60" w:line="276" w:lineRule="auto"/>
        <w:jc w:val="both"/>
        <w:rPr>
          <w:rFonts w:ascii="Titillium" w:cs="Titillium" w:eastAsia="Titillium" w:hAnsi="Titillium"/>
          <w:strike w:val="1"/>
          <w:sz w:val="18"/>
          <w:szCs w:val="18"/>
        </w:rPr>
      </w:pPr>
      <w:r w:rsidDel="00000000" w:rsidR="00000000" w:rsidRPr="00000000">
        <w:rPr>
          <w:rtl w:val="0"/>
        </w:rPr>
      </w:r>
    </w:p>
    <w:p w:rsidR="00000000" w:rsidDel="00000000" w:rsidP="00000000" w:rsidRDefault="00000000" w:rsidRPr="00000000" w14:paraId="000000EB">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in cui un raggruppamento abbia estromesso o sostituito un partecipante allo stesso poiché privo di un requisito di ordine speciale di cui all’articolo 100 del Codice, si valutano le misure adottate ai sensi dell’articolo 97 del Codice al fine di decidere sull’esclusione del raggruppamento. </w:t>
      </w:r>
    </w:p>
    <w:p w:rsidR="00000000" w:rsidDel="00000000" w:rsidP="00000000" w:rsidRDefault="00000000" w:rsidRPr="00000000" w14:paraId="000000EC">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ED">
      <w:pPr>
        <w:pStyle w:val="Heading4"/>
        <w:rPr/>
      </w:pPr>
      <w:bookmarkStart w:colFirst="0" w:colLast="0" w:name="_heading=h.3as4poj" w:id="29"/>
      <w:bookmarkEnd w:id="29"/>
      <w:r w:rsidDel="00000000" w:rsidR="00000000" w:rsidRPr="00000000">
        <w:rPr>
          <w:rtl w:val="0"/>
        </w:rPr>
        <w:t xml:space="preserve">INDICAZIONI SUI REQUISITI SPECIALI NEI CONSORZI DI COOPERATIVE, CONSORZI DI IMPRESE ARTIGIANE, CONSORZI STABILI </w:t>
      </w:r>
    </w:p>
    <w:p w:rsidR="00000000" w:rsidDel="00000000" w:rsidP="00000000" w:rsidRDefault="00000000" w:rsidRPr="00000000" w14:paraId="000000EE">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Requisiti di idoneità professionale</w:t>
      </w:r>
    </w:p>
    <w:p w:rsidR="00000000" w:rsidDel="00000000" w:rsidP="00000000" w:rsidRDefault="00000000" w:rsidRPr="00000000" w14:paraId="000000EF">
      <w:pPr>
        <w:widowControl w:val="1"/>
        <w:numPr>
          <w:ilvl w:val="2"/>
          <w:numId w:val="36"/>
        </w:numPr>
        <w:spacing w:after="60" w:before="60" w:line="276" w:lineRule="auto"/>
        <w:ind w:left="36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Il requisito relativo all’iscrizione nel Registro delle Imprese oppure nell’Albo delle Imprese artigiane deve essere posseduto dal consorzio e dai consorziati indicati come esecutori</w:t>
      </w:r>
      <w:r w:rsidDel="00000000" w:rsidR="00000000" w:rsidRPr="00000000">
        <w:rPr>
          <w:rFonts w:ascii="Titillium" w:cs="Titillium" w:eastAsia="Titillium" w:hAnsi="Titillium"/>
          <w:i w:val="1"/>
          <w:sz w:val="18"/>
          <w:szCs w:val="18"/>
          <w:rtl w:val="0"/>
        </w:rPr>
        <w:t xml:space="preserve">.</w:t>
      </w:r>
      <w:r w:rsidDel="00000000" w:rsidR="00000000" w:rsidRPr="00000000">
        <w:rPr>
          <w:rtl w:val="0"/>
        </w:rPr>
      </w:r>
    </w:p>
    <w:p w:rsidR="00000000" w:rsidDel="00000000" w:rsidP="00000000" w:rsidRDefault="00000000" w:rsidRPr="00000000" w14:paraId="000000F0">
      <w:pPr>
        <w:widowControl w:val="1"/>
        <w:numPr>
          <w:ilvl w:val="2"/>
          <w:numId w:val="36"/>
        </w:numPr>
        <w:spacing w:after="60" w:before="60" w:line="276" w:lineRule="auto"/>
        <w:ind w:left="36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Il requisito relativo all’iscrizione nel Registro delle Imprese oppure nell’Albo delle Imprese artigiane per attività pertinenti con quelle oggetto della presente procedura di gara deve essere posseduto dal consorziato esecutore.</w:t>
      </w:r>
      <w:r w:rsidDel="00000000" w:rsidR="00000000" w:rsidRPr="00000000">
        <w:rPr>
          <w:rtl w:val="0"/>
        </w:rPr>
      </w:r>
    </w:p>
    <w:p w:rsidR="00000000" w:rsidDel="00000000" w:rsidP="00000000" w:rsidRDefault="00000000" w:rsidRPr="00000000" w14:paraId="000000F1">
      <w:pPr>
        <w:widowControl w:val="1"/>
        <w:spacing w:after="60" w:before="6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0F2">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Requisiti di capacità economico finanziaria e tecnico-professionale</w:t>
      </w:r>
    </w:p>
    <w:p w:rsidR="00000000" w:rsidDel="00000000" w:rsidP="00000000" w:rsidRDefault="00000000" w:rsidRPr="00000000" w14:paraId="000000F3">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 consorzi di cui all’articolo 65, comma 2, lettera b) e c) del Codice, utilizzano i requisiti propri e, nel novero di questi, fanno valere i mezzi nella disponibilità delle consorziate che li costituiscono.</w:t>
      </w:r>
    </w:p>
    <w:p w:rsidR="00000000" w:rsidDel="00000000" w:rsidP="00000000" w:rsidRDefault="00000000" w:rsidRPr="00000000" w14:paraId="000000F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Per i consorzi di cui all’articolo 65, comma 2, lett. d) del Codice, i requisiti di capacità tecnica e finanziaria sono computati cumulativamente in capo al consorzio ancorché posseduti dalle singole consorziate.</w:t>
      </w:r>
    </w:p>
    <w:p w:rsidR="00000000" w:rsidDel="00000000" w:rsidP="00000000" w:rsidRDefault="00000000" w:rsidRPr="00000000" w14:paraId="000000F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in cui un consorzio abbia estromesso o sostituito una consorziata poiché priva di un requisito di ordine speciale di cui all’articolo 100 del Codice, si valutano le misure adottate ai sensi dell’articolo 97 del Codice al fine di decidere sull’esclusione.</w:t>
      </w:r>
    </w:p>
    <w:p w:rsidR="00000000" w:rsidDel="00000000" w:rsidP="00000000" w:rsidRDefault="00000000" w:rsidRPr="00000000" w14:paraId="000000F6">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1pxezwc" w:id="30"/>
      <w:bookmarkEnd w:id="30"/>
      <w:r w:rsidDel="00000000" w:rsidR="00000000" w:rsidRPr="00000000">
        <w:rPr>
          <w:rFonts w:ascii="Titillium" w:cs="Titillium" w:eastAsia="Titillium" w:hAnsi="Titillium"/>
          <w:b w:val="1"/>
          <w:smallCaps w:val="1"/>
          <w:sz w:val="18"/>
          <w:szCs w:val="18"/>
          <w:rtl w:val="0"/>
        </w:rPr>
        <w:t xml:space="preserve">AVVALIMENTO </w:t>
      </w:r>
      <w:r w:rsidDel="00000000" w:rsidR="00000000" w:rsidRPr="00000000">
        <w:rPr>
          <w:rtl w:val="0"/>
        </w:rPr>
      </w:r>
    </w:p>
    <w:p w:rsidR="00000000" w:rsidDel="00000000" w:rsidP="00000000" w:rsidRDefault="00000000" w:rsidRPr="00000000" w14:paraId="000000F7">
      <w:pPr>
        <w:widowControl w:val="1"/>
        <w:tabs>
          <w:tab w:val="left" w:leader="none" w:pos="0"/>
        </w:tabs>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concorrente può avvalersi di dotazioni tecniche, risorse umane e strumentali messe a disposizione da uno o più operatori economici ausiliari per dimostrare il possesso dei requisiti di ordine speciale di cui al punto 6 e/o per migliorare la propria offerta.</w:t>
      </w:r>
    </w:p>
    <w:p w:rsidR="00000000" w:rsidDel="00000000" w:rsidP="00000000" w:rsidRDefault="00000000" w:rsidRPr="00000000" w14:paraId="000000F8">
      <w:pPr>
        <w:widowControl w:val="1"/>
        <w:tabs>
          <w:tab w:val="left" w:leader="none" w:pos="0"/>
        </w:tabs>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 ai sensi dell’art. 104 del Codice.</w:t>
      </w:r>
    </w:p>
    <w:p w:rsidR="00000000" w:rsidDel="00000000" w:rsidP="00000000" w:rsidRDefault="00000000" w:rsidRPr="00000000" w14:paraId="000000F9">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Nei casi in cui l’avvalimento sia finalizzato a migliorare l’offerta, non è consentito che alla stessa gara partecipino sia l’ausiliario che l’operatore che si avvale delle risorse da questo a messe a disposizione, pena l’esclusione di entrambi i soggetti.</w:t>
      </w:r>
    </w:p>
    <w:p w:rsidR="00000000" w:rsidDel="00000000" w:rsidP="00000000" w:rsidRDefault="00000000" w:rsidRPr="00000000" w14:paraId="000000FA">
      <w:pPr>
        <w:widowControl w:val="1"/>
        <w:tabs>
          <w:tab w:val="left" w:leader="none" w:pos="0"/>
        </w:tabs>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Ai sensi dell’articolo 372, comma 4 del codice della crisi di impresa e dell’insolvenza, per la partecipazione alla presente procedura tra il momento del deposito della domanda di cui all’articolo 40 del succitato codice e il momento del deposito del decreto previsto dall'articolo 47 del codice medesimo è sempre necessario l'avvalimento dei requisiti di un altro soggetto. L’avvalimento non è necessario in caso di ammissione al concordato preventivo.</w:t>
      </w:r>
    </w:p>
    <w:p w:rsidR="00000000" w:rsidDel="00000000" w:rsidP="00000000" w:rsidRDefault="00000000" w:rsidRPr="00000000" w14:paraId="000000FB">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Il concorrente e l’ausiliario sono responsabili in solido nei confronti della stazione appaltante in relazione alle prestazioni oggetto del contratto.</w:t>
      </w:r>
      <w:r w:rsidDel="00000000" w:rsidR="00000000" w:rsidRPr="00000000">
        <w:rPr>
          <w:rtl w:val="0"/>
        </w:rPr>
      </w:r>
    </w:p>
    <w:p w:rsidR="00000000" w:rsidDel="00000000" w:rsidP="00000000" w:rsidRDefault="00000000" w:rsidRPr="00000000" w14:paraId="000000FC">
      <w:pPr>
        <w:widowControl w:val="1"/>
        <w:tabs>
          <w:tab w:val="left" w:leader="none" w:pos="0"/>
        </w:tabs>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Non è consentito l’avvalimento per soddisfare i requisiti di ordine generale e dell’iscrizione alla Camera di commercio.</w:t>
      </w:r>
    </w:p>
    <w:p w:rsidR="00000000" w:rsidDel="00000000" w:rsidP="00000000" w:rsidRDefault="00000000" w:rsidRPr="00000000" w14:paraId="000000FD">
      <w:pPr>
        <w:widowControl w:val="1"/>
        <w:spacing w:after="60" w:before="60" w:line="276" w:lineRule="auto"/>
        <w:jc w:val="both"/>
        <w:rPr>
          <w:rFonts w:ascii="Titillium" w:cs="Titillium" w:eastAsia="Titillium" w:hAnsi="Titillium"/>
          <w:i w:val="1"/>
          <w:sz w:val="18"/>
          <w:szCs w:val="18"/>
        </w:rPr>
      </w:pPr>
      <w:r w:rsidDel="00000000" w:rsidR="00000000" w:rsidRPr="00000000">
        <w:rPr>
          <w:rFonts w:ascii="Titillium" w:cs="Titillium" w:eastAsia="Titillium" w:hAnsi="Titillium"/>
          <w:sz w:val="18"/>
          <w:szCs w:val="18"/>
          <w:rtl w:val="0"/>
        </w:rPr>
        <w:t xml:space="preserve">Ai sensi dell’articolo 104, comma 11, del Codice, il seguente compito essenziale di “fornitura dei </w:t>
      </w:r>
      <w:r w:rsidDel="00000000" w:rsidR="00000000" w:rsidRPr="00000000">
        <w:rPr>
          <w:rFonts w:ascii="Titillium" w:cs="Titillium" w:eastAsia="Titillium" w:hAnsi="Titillium"/>
          <w:sz w:val="20"/>
          <w:szCs w:val="20"/>
          <w:rtl w:val="0"/>
        </w:rPr>
        <w:t xml:space="preserve">materiali elettrici  per l’adeguamento degli impianti di media e bassa tensione ai sensi dell’art. 71 del d.lgs 36/2023</w:t>
      </w:r>
      <w:r w:rsidDel="00000000" w:rsidR="00000000" w:rsidRPr="00000000">
        <w:rPr>
          <w:rFonts w:ascii="Titillium" w:cs="Titillium" w:eastAsia="Titillium" w:hAnsi="Titillium"/>
          <w:sz w:val="18"/>
          <w:szCs w:val="18"/>
          <w:rtl w:val="0"/>
        </w:rPr>
        <w:t xml:space="preserve">” venga direttamente svolti dall’offerente o, nel caso di offerta presentata da un raggruppamento, da un partecipante al raggruppamento.</w:t>
      </w:r>
      <w:r w:rsidDel="00000000" w:rsidR="00000000" w:rsidRPr="00000000">
        <w:rPr>
          <w:rFonts w:ascii="Titillium" w:cs="Titillium" w:eastAsia="Titillium" w:hAnsi="Titillium"/>
          <w:i w:val="1"/>
          <w:sz w:val="18"/>
          <w:szCs w:val="18"/>
          <w:rtl w:val="0"/>
        </w:rPr>
        <w:t xml:space="preserve"> </w:t>
      </w:r>
    </w:p>
    <w:p w:rsidR="00000000" w:rsidDel="00000000" w:rsidP="00000000" w:rsidRDefault="00000000" w:rsidRPr="00000000" w14:paraId="000000FE">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0FF">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L’ausiliario deve:</w:t>
      </w:r>
    </w:p>
    <w:p w:rsidR="00000000" w:rsidDel="00000000" w:rsidP="00000000" w:rsidRDefault="00000000" w:rsidRPr="00000000" w14:paraId="00000100">
      <w:pPr>
        <w:widowControl w:val="1"/>
        <w:numPr>
          <w:ilvl w:val="2"/>
          <w:numId w:val="12"/>
        </w:numPr>
        <w:spacing w:after="60" w:before="60" w:line="276" w:lineRule="auto"/>
        <w:ind w:left="709"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possedere i requisiti previsti dall’articolo 5 e dichiararli presentando un proprio eDGUE, da compilare nelle parti pertinenti;</w:t>
      </w:r>
      <w:r w:rsidDel="00000000" w:rsidR="00000000" w:rsidRPr="00000000">
        <w:rPr>
          <w:rtl w:val="0"/>
        </w:rPr>
      </w:r>
    </w:p>
    <w:p w:rsidR="00000000" w:rsidDel="00000000" w:rsidP="00000000" w:rsidRDefault="00000000" w:rsidRPr="00000000" w14:paraId="00000101">
      <w:pPr>
        <w:widowControl w:val="1"/>
        <w:numPr>
          <w:ilvl w:val="2"/>
          <w:numId w:val="12"/>
        </w:numPr>
        <w:spacing w:after="60" w:before="60" w:line="276" w:lineRule="auto"/>
        <w:ind w:left="709"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possedere i requisiti i di cui all’articolo 6 oggetto di avvalimento e dichiararli nel proprio eDGUE, da compilare nelle parti pertinenti; </w:t>
      </w:r>
      <w:r w:rsidDel="00000000" w:rsidR="00000000" w:rsidRPr="00000000">
        <w:rPr>
          <w:rtl w:val="0"/>
        </w:rPr>
      </w:r>
    </w:p>
    <w:p w:rsidR="00000000" w:rsidDel="00000000" w:rsidP="00000000" w:rsidRDefault="00000000" w:rsidRPr="00000000" w14:paraId="00000102">
      <w:pPr>
        <w:widowControl w:val="1"/>
        <w:numPr>
          <w:ilvl w:val="2"/>
          <w:numId w:val="12"/>
        </w:numPr>
        <w:spacing w:after="60" w:before="60" w:line="276" w:lineRule="auto"/>
        <w:ind w:left="709"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impegnarsi, verso il concorrente che si avvale e verso la stazione appaltante, a mettere a disposizione, per tutta la durata dell’appalto, le risorse (riferite a requisiti di partecipazione e/o premiali) oggetto di avvalimento. </w:t>
      </w:r>
      <w:r w:rsidDel="00000000" w:rsidR="00000000" w:rsidRPr="00000000">
        <w:rPr>
          <w:rtl w:val="0"/>
        </w:rPr>
      </w:r>
    </w:p>
    <w:p w:rsidR="00000000" w:rsidDel="00000000" w:rsidP="00000000" w:rsidRDefault="00000000" w:rsidRPr="00000000" w14:paraId="00000103">
      <w:pPr>
        <w:widowControl w:val="1"/>
        <w:spacing w:after="60" w:before="60" w:line="276" w:lineRule="auto"/>
        <w:jc w:val="both"/>
        <w:rPr>
          <w:rFonts w:ascii="Titillium" w:cs="Titillium" w:eastAsia="Titillium" w:hAnsi="Titillium"/>
          <w:sz w:val="18"/>
          <w:szCs w:val="18"/>
          <w:highlight w:val="yellow"/>
        </w:rPr>
      </w:pPr>
      <w:r w:rsidDel="00000000" w:rsidR="00000000" w:rsidRPr="00000000">
        <w:rPr>
          <w:rtl w:val="0"/>
        </w:rPr>
      </w:r>
    </w:p>
    <w:p w:rsidR="00000000" w:rsidDel="00000000" w:rsidP="00000000" w:rsidRDefault="00000000" w:rsidRPr="00000000" w14:paraId="0000010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concorrente allega alla domanda di partecipazione il contratto di avvalimento, che deve essere nativo digitale e firmato digitalmente dalle parti, nonché le dichiarazioni dell’ausiliario.</w:t>
      </w:r>
    </w:p>
    <w:p w:rsidR="00000000" w:rsidDel="00000000" w:rsidP="00000000" w:rsidRDefault="00000000" w:rsidRPr="00000000" w14:paraId="0000010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È sanabile, mediante soccorso istruttorio, la mancata produzione delle dichiarazioni dell’ausiliario.</w:t>
      </w:r>
    </w:p>
    <w:p w:rsidR="00000000" w:rsidDel="00000000" w:rsidP="00000000" w:rsidRDefault="00000000" w:rsidRPr="00000000" w14:paraId="00000106">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È sanabile, mediante soccorso istruttorio, la mancata produzione del contratto di avvalimento a condizione che il contratto sia stato stipulato prima del termine di presentazione dell’offerta e che tale circostanza sia comprovabile con data certa.</w:t>
      </w:r>
      <w:r w:rsidDel="00000000" w:rsidR="00000000" w:rsidRPr="00000000">
        <w:rPr>
          <w:rtl w:val="0"/>
        </w:rPr>
      </w:r>
    </w:p>
    <w:p w:rsidR="00000000" w:rsidDel="00000000" w:rsidP="00000000" w:rsidRDefault="00000000" w:rsidRPr="00000000" w14:paraId="00000107">
      <w:pPr>
        <w:widowControl w:val="1"/>
        <w:tabs>
          <w:tab w:val="left" w:leader="none" w:pos="0"/>
        </w:tabs>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Non è sanabile la mancata indicazione delle risorse messe a disposizione dall’ausiliario in quanto causa di nullità del contratto di avvalimento.</w:t>
      </w:r>
    </w:p>
    <w:p w:rsidR="00000000" w:rsidDel="00000000" w:rsidP="00000000" w:rsidRDefault="00000000" w:rsidRPr="00000000" w14:paraId="00000108">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Qualora per l’ausiliario sussistano motivi di esclusione o laddove esso non soddisfi i requisiti di ordine speciale, il concorrente sostituisce l’ausiliario entro 5 giorni decorrenti dal ricevimento della richiesta da parte della stazione appaltante. Contestualmente il concorrente produce i documenti richiesti per l’avvalimento. </w:t>
      </w:r>
      <w:r w:rsidDel="00000000" w:rsidR="00000000" w:rsidRPr="00000000">
        <w:rPr>
          <w:rtl w:val="0"/>
        </w:rPr>
      </w:r>
    </w:p>
    <w:p w:rsidR="00000000" w:rsidDel="00000000" w:rsidP="00000000" w:rsidRDefault="00000000" w:rsidRPr="00000000" w14:paraId="00000109">
      <w:pPr>
        <w:widowControl w:val="1"/>
        <w:tabs>
          <w:tab w:val="left" w:leader="none" w:pos="0"/>
        </w:tabs>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Nel caso in cui l’ausiliario si sia reso responsabile di una falsa dichiarazione sul possesso dei requisiti, la stazione appaltante procede a segnalare all’Autorità nazionale anticorruzione il comportamento tenuto dall’ausiliario per consentire le valutazioni di cui all’articolo 96, comma 15, del Codice. L’operatore economico può indicare un altro ausiliario nel termine di dieci giorni, pena l’esclusione dalla gara. La sostituzione può essere effettuata soltanto nel caso in cui non conduca a una modifica sostanziale dell’offerta. Il mancato rispetto del termine assegnato per la sostituzione comporta l’esclusione del concorrente.</w:t>
      </w:r>
      <w:r w:rsidDel="00000000" w:rsidR="00000000" w:rsidRPr="00000000">
        <w:rPr>
          <w:rtl w:val="0"/>
        </w:rPr>
      </w:r>
    </w:p>
    <w:p w:rsidR="00000000" w:rsidDel="00000000" w:rsidP="00000000" w:rsidRDefault="00000000" w:rsidRPr="00000000" w14:paraId="0000010A">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49x2ik5" w:id="31"/>
      <w:bookmarkEnd w:id="31"/>
      <w:r w:rsidDel="00000000" w:rsidR="00000000" w:rsidRPr="00000000">
        <w:rPr>
          <w:rFonts w:ascii="Titillium" w:cs="Titillium" w:eastAsia="Titillium" w:hAnsi="Titillium"/>
          <w:b w:val="1"/>
          <w:smallCaps w:val="1"/>
          <w:sz w:val="18"/>
          <w:szCs w:val="18"/>
          <w:rtl w:val="0"/>
        </w:rPr>
        <w:t xml:space="preserve">SUBAPPALTO</w:t>
      </w:r>
      <w:r w:rsidDel="00000000" w:rsidR="00000000" w:rsidRPr="00000000">
        <w:rPr>
          <w:rtl w:val="0"/>
        </w:rPr>
      </w:r>
    </w:p>
    <w:p w:rsidR="00000000" w:rsidDel="00000000" w:rsidP="00000000" w:rsidRDefault="00000000" w:rsidRPr="00000000" w14:paraId="0000010B">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Considerata la specificità della fornitura il subappalto non è previsto.</w:t>
      </w:r>
    </w:p>
    <w:p w:rsidR="00000000" w:rsidDel="00000000" w:rsidP="00000000" w:rsidRDefault="00000000" w:rsidRPr="00000000" w14:paraId="0000010C">
      <w:pPr>
        <w:keepNext w:val="1"/>
        <w:widowControl w:val="1"/>
        <w:numPr>
          <w:ilvl w:val="0"/>
          <w:numId w:val="22"/>
        </w:numPr>
        <w:spacing w:after="120" w:before="560" w:line="276" w:lineRule="auto"/>
        <w:ind w:left="357" w:hanging="357"/>
        <w:jc w:val="both"/>
        <w:rPr>
          <w:rFonts w:ascii="Titillium" w:cs="Titillium" w:eastAsia="Titillium" w:hAnsi="Titillium"/>
          <w:b w:val="1"/>
          <w:smallCaps w:val="1"/>
          <w:sz w:val="18"/>
          <w:szCs w:val="18"/>
        </w:rPr>
      </w:pPr>
      <w:bookmarkStart w:colFirst="0" w:colLast="0" w:name="_heading=h.2p2csry" w:id="32"/>
      <w:bookmarkEnd w:id="32"/>
      <w:r w:rsidDel="00000000" w:rsidR="00000000" w:rsidRPr="00000000">
        <w:rPr>
          <w:rFonts w:ascii="Titillium" w:cs="Titillium" w:eastAsia="Titillium" w:hAnsi="Titillium"/>
          <w:b w:val="1"/>
          <w:smallCaps w:val="1"/>
          <w:sz w:val="18"/>
          <w:szCs w:val="18"/>
          <w:rtl w:val="0"/>
        </w:rPr>
        <w:t xml:space="preserve">REQUISITI DI PARTECIPAZIONE E/O CONDIZIONI DI ESECUZIONE </w:t>
      </w:r>
    </w:p>
    <w:p w:rsidR="00000000" w:rsidDel="00000000" w:rsidP="00000000" w:rsidRDefault="00000000" w:rsidRPr="00000000" w14:paraId="0000010D">
      <w:pPr>
        <w:widowControl w:val="1"/>
        <w:spacing w:after="60" w:before="60" w:line="276" w:lineRule="auto"/>
        <w:jc w:val="both"/>
        <w:rPr>
          <w:rFonts w:ascii="Titillium" w:cs="Titillium" w:eastAsia="Titillium" w:hAnsi="Titillium"/>
          <w:b w:val="1"/>
          <w:sz w:val="18"/>
          <w:szCs w:val="18"/>
        </w:rPr>
      </w:pPr>
      <w:bookmarkStart w:colFirst="0" w:colLast="0" w:name="_heading=h.147n2zr" w:id="33"/>
      <w:bookmarkEnd w:id="33"/>
      <w:r w:rsidDel="00000000" w:rsidR="00000000" w:rsidRPr="00000000">
        <w:rPr>
          <w:rFonts w:ascii="Titillium" w:cs="Titillium" w:eastAsia="Titillium" w:hAnsi="Titillium"/>
          <w:sz w:val="18"/>
          <w:szCs w:val="18"/>
          <w:rtl w:val="0"/>
        </w:rPr>
        <w:t xml:space="preserve">L’aggiudicatario è tenuto a garantire l’applicazione del contratto collettivo nazionale e territoriale (o dei contratti collettivi nazionali e territoriali di settore) di cui al punto 2, oppure di un altro contratto che garantisca le stesse tutele economiche e normative per i propri lavoratori e per quelli in subappalto</w:t>
      </w:r>
      <w:r w:rsidDel="00000000" w:rsidR="00000000" w:rsidRPr="00000000">
        <w:rPr>
          <w:rFonts w:ascii="Titillium" w:cs="Titillium" w:eastAsia="Titillium" w:hAnsi="Titillium"/>
          <w:b w:val="1"/>
          <w:sz w:val="18"/>
          <w:szCs w:val="18"/>
          <w:rtl w:val="0"/>
        </w:rPr>
        <w:t xml:space="preserve">.</w:t>
      </w:r>
    </w:p>
    <w:p w:rsidR="00000000" w:rsidDel="00000000" w:rsidP="00000000" w:rsidRDefault="00000000" w:rsidRPr="00000000" w14:paraId="0000010E">
      <w:pPr>
        <w:widowControl w:val="1"/>
        <w:spacing w:line="276" w:lineRule="auto"/>
        <w:jc w:val="both"/>
        <w:rPr>
          <w:rFonts w:ascii="Titillium" w:cs="Titillium" w:eastAsia="Titillium" w:hAnsi="Titillium"/>
          <w:b w:val="1"/>
          <w:i w:val="1"/>
          <w:sz w:val="18"/>
          <w:szCs w:val="18"/>
        </w:rPr>
      </w:pPr>
      <w:r w:rsidDel="00000000" w:rsidR="00000000" w:rsidRPr="00000000">
        <w:rPr>
          <w:rtl w:val="0"/>
        </w:rPr>
      </w:r>
    </w:p>
    <w:p w:rsidR="00000000" w:rsidDel="00000000" w:rsidP="00000000" w:rsidRDefault="00000000" w:rsidRPr="00000000" w14:paraId="0000010F">
      <w:pPr>
        <w:widowControl w:val="1"/>
        <w:spacing w:after="120" w:line="276" w:lineRule="auto"/>
        <w:jc w:val="both"/>
        <w:rPr>
          <w:rFonts w:ascii="Titillium" w:cs="Titillium" w:eastAsia="Titillium" w:hAnsi="Titillium"/>
          <w:b w:val="1"/>
          <w:i w:val="1"/>
          <w:sz w:val="18"/>
          <w:szCs w:val="18"/>
        </w:rPr>
      </w:pPr>
      <w:r w:rsidDel="00000000" w:rsidR="00000000" w:rsidRPr="00000000">
        <w:rPr>
          <w:rFonts w:ascii="Titillium" w:cs="Titillium" w:eastAsia="Titillium" w:hAnsi="Titillium"/>
          <w:sz w:val="18"/>
          <w:szCs w:val="18"/>
          <w:rtl w:val="0"/>
        </w:rPr>
        <w:t xml:space="preserve">Il concorrente si impegna, </w:t>
      </w:r>
      <w:r w:rsidDel="00000000" w:rsidR="00000000" w:rsidRPr="00000000">
        <w:rPr>
          <w:rFonts w:ascii="Titillium" w:cs="Titillium" w:eastAsia="Titillium" w:hAnsi="Titillium"/>
          <w:sz w:val="18"/>
          <w:szCs w:val="18"/>
          <w:u w:val="single"/>
          <w:rtl w:val="0"/>
        </w:rPr>
        <w:t xml:space="preserve">a pena di esclusione</w:t>
      </w:r>
      <w:r w:rsidDel="00000000" w:rsidR="00000000" w:rsidRPr="00000000">
        <w:rPr>
          <w:rFonts w:ascii="Titillium" w:cs="Titillium" w:eastAsia="Titillium" w:hAnsi="Titillium"/>
          <w:sz w:val="18"/>
          <w:szCs w:val="18"/>
          <w:rtl w:val="0"/>
        </w:rPr>
        <w:t xml:space="preserve">, in caso di aggiudicazione del contratto, ad assicurare per l'esecuzione del contratto o per la realizzazione di attività ad esso connesse o strumentali:</w:t>
      </w:r>
      <w:r w:rsidDel="00000000" w:rsidR="00000000" w:rsidRPr="00000000">
        <w:rPr>
          <w:rtl w:val="0"/>
        </w:rPr>
      </w:r>
    </w:p>
    <w:p w:rsidR="00000000" w:rsidDel="00000000" w:rsidP="00000000" w:rsidRDefault="00000000" w:rsidRPr="00000000" w14:paraId="00000110">
      <w:pPr>
        <w:widowControl w:val="1"/>
        <w:numPr>
          <w:ilvl w:val="0"/>
          <w:numId w:val="25"/>
        </w:numPr>
        <w:spacing w:line="276" w:lineRule="auto"/>
        <w:ind w:left="851" w:hanging="426"/>
        <w:jc w:val="both"/>
        <w:rPr>
          <w:rFonts w:ascii="Titillium" w:cs="Titillium" w:eastAsia="Titillium" w:hAnsi="Titillium"/>
          <w:sz w:val="18"/>
          <w:szCs w:val="18"/>
        </w:rPr>
      </w:pPr>
      <w:bookmarkStart w:colFirst="0" w:colLast="0" w:name="_heading=h.3o7alnk" w:id="34"/>
      <w:bookmarkEnd w:id="34"/>
      <w:r w:rsidDel="00000000" w:rsidR="00000000" w:rsidRPr="00000000">
        <w:rPr>
          <w:rFonts w:ascii="Titillium" w:cs="Titillium" w:eastAsia="Titillium" w:hAnsi="Titillium"/>
          <w:sz w:val="18"/>
          <w:szCs w:val="18"/>
          <w:rtl w:val="0"/>
        </w:rPr>
        <w:t xml:space="preserve">una quota pari al 10% per cento delle assunzioni necessarie di occupazione giovanile,</w:t>
      </w:r>
    </w:p>
    <w:p w:rsidR="00000000" w:rsidDel="00000000" w:rsidP="00000000" w:rsidRDefault="00000000" w:rsidRPr="00000000" w14:paraId="00000111">
      <w:pPr>
        <w:widowControl w:val="1"/>
        <w:numPr>
          <w:ilvl w:val="0"/>
          <w:numId w:val="25"/>
        </w:numPr>
        <w:spacing w:line="276" w:lineRule="auto"/>
        <w:ind w:left="851" w:hanging="426"/>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una quota pari al 10% per cento delle assunzioni necessarie di occupazione femminile.</w:t>
      </w:r>
    </w:p>
    <w:p w:rsidR="00000000" w:rsidDel="00000000" w:rsidP="00000000" w:rsidRDefault="00000000" w:rsidRPr="00000000" w14:paraId="00000112">
      <w:pPr>
        <w:widowControl w:val="1"/>
        <w:spacing w:line="276" w:lineRule="auto"/>
        <w:ind w:left="851" w:firstLine="0"/>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1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Gli operatori economici che occupano un numero pari o superiore a quindici dipendenti e non superiore a cinquanta, non tenuti alla redazione del rapporto sulla situazione del personale, ai sensi dell'articolo 46 del decreto legislativo 11 aprile 2006, n. 198, sono tenuti, entro sei mesi dalla conclusione del contratto, a consegnare una </w:t>
      </w:r>
      <w:r w:rsidDel="00000000" w:rsidR="00000000" w:rsidRPr="00000000">
        <w:rPr>
          <w:rFonts w:ascii="Titillium" w:cs="Titillium" w:eastAsia="Titillium" w:hAnsi="Titillium"/>
          <w:b w:val="1"/>
          <w:sz w:val="18"/>
          <w:szCs w:val="18"/>
          <w:rtl w:val="0"/>
        </w:rPr>
        <w:t xml:space="preserve">relazione di genere</w:t>
      </w:r>
      <w:r w:rsidDel="00000000" w:rsidR="00000000" w:rsidRPr="00000000">
        <w:rPr>
          <w:rFonts w:ascii="Titillium" w:cs="Titillium" w:eastAsia="Titillium" w:hAnsi="Titillium"/>
          <w:sz w:val="18"/>
          <w:szCs w:val="18"/>
          <w:rtl w:val="0"/>
        </w:rPr>
        <w:t xml:space="preserv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L'operatore economico è altresì tenuto a trasmettere la relazione alle rappresentanze sindacali aziendali e alla consigliera e al consigliere regionale di parità.</w:t>
      </w:r>
    </w:p>
    <w:p w:rsidR="00000000" w:rsidDel="00000000" w:rsidP="00000000" w:rsidRDefault="00000000" w:rsidRPr="00000000" w14:paraId="0000011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Gli operatori economici che occupano un numero pari o superiore a quindici dipendenti sono tenuti, entro sei mesi dalla conclusione del contratto, a consegnare alla stazione appaltante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w:t>
      </w:r>
    </w:p>
    <w:p w:rsidR="00000000" w:rsidDel="00000000" w:rsidP="00000000" w:rsidRDefault="00000000" w:rsidRPr="00000000" w14:paraId="00000115">
      <w:pPr>
        <w:widowControl w:val="1"/>
        <w:spacing w:after="60" w:before="60" w:line="276" w:lineRule="auto"/>
        <w:jc w:val="both"/>
        <w:rPr>
          <w:rFonts w:ascii="Titillium" w:cs="Titillium" w:eastAsia="Titillium" w:hAnsi="Titillium"/>
          <w:b w:val="1"/>
          <w:i w:val="1"/>
          <w:sz w:val="18"/>
          <w:szCs w:val="18"/>
        </w:rPr>
      </w:pPr>
      <w:r w:rsidDel="00000000" w:rsidR="00000000" w:rsidRPr="00000000">
        <w:rPr>
          <w:rtl w:val="0"/>
        </w:rPr>
      </w:r>
    </w:p>
    <w:p w:rsidR="00000000" w:rsidDel="00000000" w:rsidP="00000000" w:rsidRDefault="00000000" w:rsidRPr="00000000" w14:paraId="00000116">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23ckvvd" w:id="35"/>
      <w:bookmarkEnd w:id="35"/>
      <w:r w:rsidDel="00000000" w:rsidR="00000000" w:rsidRPr="00000000">
        <w:rPr>
          <w:rFonts w:ascii="Titillium" w:cs="Titillium" w:eastAsia="Titillium" w:hAnsi="Titillium"/>
          <w:b w:val="1"/>
          <w:smallCaps w:val="1"/>
          <w:sz w:val="18"/>
          <w:szCs w:val="18"/>
          <w:rtl w:val="0"/>
        </w:rPr>
        <w:t xml:space="preserve">GARANZIA PROVVISORIA</w:t>
      </w:r>
      <w:r w:rsidDel="00000000" w:rsidR="00000000" w:rsidRPr="00000000">
        <w:rPr>
          <w:rtl w:val="0"/>
        </w:rPr>
      </w:r>
    </w:p>
    <w:p w:rsidR="00000000" w:rsidDel="00000000" w:rsidP="00000000" w:rsidRDefault="00000000" w:rsidRPr="00000000" w14:paraId="00000117">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L’offerta è corredata, a pena di esclusione,</w:t>
      </w:r>
      <w:r w:rsidDel="00000000" w:rsidR="00000000" w:rsidRPr="00000000">
        <w:rPr>
          <w:rFonts w:ascii="Titillium" w:cs="Titillium" w:eastAsia="Titillium" w:hAnsi="Titillium"/>
          <w:b w:val="1"/>
          <w:sz w:val="18"/>
          <w:szCs w:val="18"/>
          <w:rtl w:val="0"/>
        </w:rPr>
        <w:t xml:space="preserve"> </w:t>
      </w:r>
      <w:r w:rsidDel="00000000" w:rsidR="00000000" w:rsidRPr="00000000">
        <w:rPr>
          <w:rFonts w:ascii="Titillium" w:cs="Titillium" w:eastAsia="Titillium" w:hAnsi="Titillium"/>
          <w:sz w:val="18"/>
          <w:szCs w:val="18"/>
          <w:rtl w:val="0"/>
        </w:rPr>
        <w:t xml:space="preserve">da una garanzia provvisoria pari a </w:t>
      </w:r>
      <w:r w:rsidDel="00000000" w:rsidR="00000000" w:rsidRPr="00000000">
        <w:rPr>
          <w:rFonts w:ascii="Titillium" w:cs="Titillium" w:eastAsia="Titillium" w:hAnsi="Titillium"/>
          <w:i w:val="1"/>
          <w:sz w:val="18"/>
          <w:szCs w:val="18"/>
          <w:rtl w:val="0"/>
        </w:rPr>
        <w:t xml:space="preserve">2% del valore complessivo dell’appalto ai sensi dell’art. 106 del Codice.</w:t>
      </w:r>
      <w:r w:rsidDel="00000000" w:rsidR="00000000" w:rsidRPr="00000000">
        <w:rPr>
          <w:rtl w:val="0"/>
        </w:rPr>
      </w:r>
    </w:p>
    <w:p w:rsidR="00000000" w:rsidDel="00000000" w:rsidP="00000000" w:rsidRDefault="00000000" w:rsidRPr="00000000" w14:paraId="00000118">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Si applicano le riduzioni di cui all’articolo 106, comma 8 del Codice.</w:t>
      </w:r>
      <w:r w:rsidDel="00000000" w:rsidR="00000000" w:rsidRPr="00000000">
        <w:rPr>
          <w:rtl w:val="0"/>
        </w:rPr>
      </w:r>
    </w:p>
    <w:p w:rsidR="00000000" w:rsidDel="00000000" w:rsidP="00000000" w:rsidRDefault="00000000" w:rsidRPr="00000000" w14:paraId="00000119">
      <w:pPr>
        <w:widowControl w:val="1"/>
        <w:spacing w:after="60" w:before="120" w:line="276" w:lineRule="auto"/>
        <w:ind w:left="425" w:hanging="425"/>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garanzia provvisoria è costituita, a scelta del concorrente sotto forma di cauzione o di fideiussione:</w:t>
      </w:r>
      <w:r w:rsidDel="00000000" w:rsidR="00000000" w:rsidRPr="00000000">
        <w:rPr>
          <w:rtl w:val="0"/>
        </w:rPr>
      </w:r>
    </w:p>
    <w:p w:rsidR="00000000" w:rsidDel="00000000" w:rsidP="00000000" w:rsidRDefault="00000000" w:rsidRPr="00000000" w14:paraId="0000011A">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cauzione è costituita mediante accredito, con bonifico o con altri strumenti e canali di pagamento elettronici, presso il conto presso la Banca BNL SpA intestato a Sidra Spa IBAN IT47X0100516900000000052933, Causale: “Cauzione provvisoria gara [</w:t>
      </w:r>
      <w:r w:rsidDel="00000000" w:rsidR="00000000" w:rsidRPr="00000000">
        <w:rPr>
          <w:rFonts w:ascii="Titillium" w:cs="Titillium" w:eastAsia="Titillium" w:hAnsi="Titillium"/>
          <w:i w:val="1"/>
          <w:sz w:val="18"/>
          <w:szCs w:val="18"/>
          <w:rtl w:val="0"/>
        </w:rPr>
        <w:t xml:space="preserve">indicare il CIG della procedura</w:t>
      </w:r>
      <w:r w:rsidDel="00000000" w:rsidR="00000000" w:rsidRPr="00000000">
        <w:rPr>
          <w:rFonts w:ascii="Titillium" w:cs="Titillium" w:eastAsia="Titillium" w:hAnsi="Titillium"/>
          <w:sz w:val="18"/>
          <w:szCs w:val="18"/>
          <w:rtl w:val="0"/>
        </w:rPr>
        <w:t xml:space="preserve">]”.</w:t>
      </w:r>
    </w:p>
    <w:p w:rsidR="00000000" w:rsidDel="00000000" w:rsidP="00000000" w:rsidRDefault="00000000" w:rsidRPr="00000000" w14:paraId="0000011B">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fideiussione può essere rilasciata:</w:t>
      </w:r>
    </w:p>
    <w:p w:rsidR="00000000" w:rsidDel="00000000" w:rsidP="00000000" w:rsidRDefault="00000000" w:rsidRPr="00000000" w14:paraId="0000011C">
      <w:pPr>
        <w:widowControl w:val="1"/>
        <w:numPr>
          <w:ilvl w:val="1"/>
          <w:numId w:val="12"/>
        </w:numPr>
        <w:spacing w:after="60" w:before="60" w:line="276" w:lineRule="auto"/>
        <w:ind w:left="426"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da imprese bancarie o assicurative che rispondono ai requisiti di solvibilità previsti dalle leggi che ne disciplinano le rispettive attività;</w:t>
      </w:r>
      <w:r w:rsidDel="00000000" w:rsidR="00000000" w:rsidRPr="00000000">
        <w:rPr>
          <w:rtl w:val="0"/>
        </w:rPr>
      </w:r>
    </w:p>
    <w:p w:rsidR="00000000" w:rsidDel="00000000" w:rsidP="00000000" w:rsidRDefault="00000000" w:rsidRPr="00000000" w14:paraId="0000011D">
      <w:pPr>
        <w:widowControl w:val="1"/>
        <w:numPr>
          <w:ilvl w:val="1"/>
          <w:numId w:val="12"/>
        </w:numPr>
        <w:spacing w:after="60" w:before="60" w:line="276" w:lineRule="auto"/>
        <w:ind w:left="426"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da un intermediario finanziario iscritto nell'albo di cui all'</w:t>
      </w:r>
      <w:hyperlink r:id="rId13">
        <w:r w:rsidDel="00000000" w:rsidR="00000000" w:rsidRPr="00000000">
          <w:rPr>
            <w:rFonts w:ascii="Titillium" w:cs="Titillium" w:eastAsia="Titillium" w:hAnsi="Titillium"/>
            <w:sz w:val="18"/>
            <w:szCs w:val="18"/>
            <w:rtl w:val="0"/>
          </w:rPr>
          <w:t xml:space="preserve">articolo 106 del decreto legislativo 1 settembre 1993, n. 385</w:t>
        </w:r>
      </w:hyperlink>
      <w:r w:rsidDel="00000000" w:rsidR="00000000" w:rsidRPr="00000000">
        <w:rPr>
          <w:rFonts w:ascii="Titillium" w:cs="Titillium" w:eastAsia="Titillium" w:hAnsi="Titillium"/>
          <w:sz w:val="18"/>
          <w:szCs w:val="18"/>
          <w:rtl w:val="0"/>
        </w:rPr>
        <w:t xml:space="preserve">, che svolge in via esclusiva o prevalente attività di rilascio di garanzie, che è sottoposto a revisione contabile da parte di una società di revisione iscritta nell'albo previsto dall'articolo 161 del decreto legislativo 24 febbraio 1998, n. 58; e che abbia i requisiti minimi di solvibilità richiesti dalla vigente normativa bancaria assicurativa.</w:t>
      </w:r>
      <w:r w:rsidDel="00000000" w:rsidR="00000000" w:rsidRPr="00000000">
        <w:rPr>
          <w:rtl w:val="0"/>
        </w:rPr>
      </w:r>
    </w:p>
    <w:p w:rsidR="00000000" w:rsidDel="00000000" w:rsidP="00000000" w:rsidRDefault="00000000" w:rsidRPr="00000000" w14:paraId="0000011E">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1F">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Gli operatori economici, prima di procedere alla sottoscrizione della garanzia, sono tenuti a verificare che il soggetto garante sia in possesso dell’autorizzazione al rilascio di garanzie mediante accesso ai seguenti siti internet:</w:t>
      </w:r>
    </w:p>
    <w:p w:rsidR="00000000" w:rsidDel="00000000" w:rsidP="00000000" w:rsidRDefault="00000000" w:rsidRPr="00000000" w14:paraId="00000120">
      <w:pPr>
        <w:widowControl w:val="1"/>
        <w:spacing w:after="60" w:before="60" w:line="276" w:lineRule="auto"/>
        <w:jc w:val="both"/>
        <w:rPr>
          <w:rFonts w:ascii="Titillium" w:cs="Titillium" w:eastAsia="Titillium" w:hAnsi="Titillium"/>
          <w:sz w:val="18"/>
          <w:szCs w:val="18"/>
        </w:rPr>
      </w:pPr>
      <w:hyperlink r:id="rId14">
        <w:r w:rsidDel="00000000" w:rsidR="00000000" w:rsidRPr="00000000">
          <w:rPr>
            <w:rFonts w:ascii="Titillium" w:cs="Titillium" w:eastAsia="Titillium" w:hAnsi="Titillium"/>
            <w:color w:val="0563c1"/>
            <w:sz w:val="18"/>
            <w:szCs w:val="18"/>
            <w:u w:val="single"/>
            <w:rtl w:val="0"/>
          </w:rPr>
          <w:t xml:space="preserve">http://www.bancaditalia.it/compiti/vigilanza/intermediari/index.html</w:t>
        </w:r>
      </w:hyperlink>
      <w:r w:rsidDel="00000000" w:rsidR="00000000" w:rsidRPr="00000000">
        <w:rPr>
          <w:rtl w:val="0"/>
        </w:rPr>
      </w:r>
    </w:p>
    <w:p w:rsidR="00000000" w:rsidDel="00000000" w:rsidP="00000000" w:rsidRDefault="00000000" w:rsidRPr="00000000" w14:paraId="00000121">
      <w:pPr>
        <w:widowControl w:val="1"/>
        <w:spacing w:after="60" w:before="60" w:line="276" w:lineRule="auto"/>
        <w:jc w:val="both"/>
        <w:rPr>
          <w:rFonts w:ascii="Titillium" w:cs="Titillium" w:eastAsia="Titillium" w:hAnsi="Titillium"/>
          <w:sz w:val="18"/>
          <w:szCs w:val="18"/>
        </w:rPr>
      </w:pPr>
      <w:hyperlink r:id="rId15">
        <w:r w:rsidDel="00000000" w:rsidR="00000000" w:rsidRPr="00000000">
          <w:rPr>
            <w:rFonts w:ascii="Titillium" w:cs="Titillium" w:eastAsia="Titillium" w:hAnsi="Titillium"/>
            <w:color w:val="0563c1"/>
            <w:sz w:val="18"/>
            <w:szCs w:val="18"/>
            <w:u w:val="single"/>
            <w:rtl w:val="0"/>
          </w:rPr>
          <w:t xml:space="preserve">http://www.bancaditalia.it/compiti/vigilanza/avvisi-pub/garanzie-finanziarie/</w:t>
        </w:r>
      </w:hyperlink>
      <w:r w:rsidDel="00000000" w:rsidR="00000000" w:rsidRPr="00000000">
        <w:rPr>
          <w:rtl w:val="0"/>
        </w:rPr>
      </w:r>
    </w:p>
    <w:p w:rsidR="00000000" w:rsidDel="00000000" w:rsidP="00000000" w:rsidRDefault="00000000" w:rsidRPr="00000000" w14:paraId="00000122">
      <w:pPr>
        <w:widowControl w:val="1"/>
        <w:spacing w:after="60" w:before="60" w:line="276" w:lineRule="auto"/>
        <w:jc w:val="both"/>
        <w:rPr>
          <w:rFonts w:ascii="Titillium" w:cs="Titillium" w:eastAsia="Titillium" w:hAnsi="Titillium"/>
          <w:color w:val="0563c1"/>
          <w:sz w:val="18"/>
          <w:szCs w:val="18"/>
          <w:u w:val="single"/>
        </w:rPr>
      </w:pPr>
      <w:hyperlink r:id="rId16">
        <w:r w:rsidDel="00000000" w:rsidR="00000000" w:rsidRPr="00000000">
          <w:rPr>
            <w:rFonts w:ascii="Titillium" w:cs="Titillium" w:eastAsia="Titillium" w:hAnsi="Titillium"/>
            <w:color w:val="0563c1"/>
            <w:sz w:val="18"/>
            <w:szCs w:val="18"/>
            <w:u w:val="single"/>
            <w:rtl w:val="0"/>
          </w:rPr>
          <w:t xml:space="preserve">http://www.ivass.it/ivass/imprese_jsp/HomePage.jsp</w:t>
        </w:r>
      </w:hyperlink>
      <w:r w:rsidDel="00000000" w:rsidR="00000000" w:rsidRPr="00000000">
        <w:rPr>
          <w:rtl w:val="0"/>
        </w:rPr>
      </w:r>
    </w:p>
    <w:p w:rsidR="00000000" w:rsidDel="00000000" w:rsidP="00000000" w:rsidRDefault="00000000" w:rsidRPr="00000000" w14:paraId="00000123">
      <w:pPr>
        <w:widowControl w:val="1"/>
        <w:spacing w:after="60" w:before="60" w:line="276" w:lineRule="auto"/>
        <w:ind w:left="66" w:firstLine="0"/>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24">
      <w:pPr>
        <w:widowControl w:val="1"/>
        <w:spacing w:after="60" w:before="60" w:line="276" w:lineRule="auto"/>
        <w:ind w:left="66" w:firstLine="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garanzia fideiussoria deve essere emessa e firmata digitalmente</w:t>
      </w:r>
      <w:r w:rsidDel="00000000" w:rsidR="00000000" w:rsidRPr="00000000">
        <w:rPr>
          <w:rFonts w:ascii="Garamond" w:cs="Garamond" w:eastAsia="Garamond" w:hAnsi="Garamond"/>
          <w:rtl w:val="0"/>
        </w:rPr>
        <w:t xml:space="preserve"> </w:t>
      </w:r>
      <w:r w:rsidDel="00000000" w:rsidR="00000000" w:rsidRPr="00000000">
        <w:rPr>
          <w:rFonts w:ascii="Titillium" w:cs="Titillium" w:eastAsia="Titillium" w:hAnsi="Titillium"/>
          <w:sz w:val="18"/>
          <w:szCs w:val="18"/>
          <w:rtl w:val="0"/>
        </w:rPr>
        <w:t xml:space="preserve">da un soggetto in possesso dei poteri necessari per impegnare il garante. </w:t>
      </w:r>
    </w:p>
    <w:p w:rsidR="00000000" w:rsidDel="00000000" w:rsidP="00000000" w:rsidRDefault="00000000" w:rsidRPr="00000000" w14:paraId="00000125">
      <w:pPr>
        <w:widowControl w:val="1"/>
        <w:spacing w:after="60" w:before="60" w:line="276" w:lineRule="auto"/>
        <w:ind w:left="66" w:firstLine="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L’operatore economico presenta una garanzia fideiussoria verificabile telematicamente presso l’emittente, indicando nella domanda il sito internet presso il quale è possibile verificare la garanzia. </w:t>
      </w:r>
    </w:p>
    <w:p w:rsidR="00000000" w:rsidDel="00000000" w:rsidP="00000000" w:rsidRDefault="00000000" w:rsidRPr="00000000" w14:paraId="00000126">
      <w:pPr>
        <w:widowControl w:val="1"/>
        <w:spacing w:after="60" w:before="60" w:line="276" w:lineRule="auto"/>
        <w:ind w:left="66" w:firstLine="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In alternativa, fino al 30 giugno 2023, nel caso in cui il garante non disponga di un sito internet per la verifica, fornisce un indirizzo PEC dedicato cui le stazioni appaltanti e gli enti concedenti inviano la polizza presentata in gara, in formato pdf, per il riscontro di autenticità e veridicità.</w:t>
      </w:r>
    </w:p>
    <w:p w:rsidR="00000000" w:rsidDel="00000000" w:rsidP="00000000" w:rsidRDefault="00000000" w:rsidRPr="00000000" w14:paraId="00000127">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28">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29">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fideiussione deve:</w:t>
      </w:r>
      <w:r w:rsidDel="00000000" w:rsidR="00000000" w:rsidRPr="00000000">
        <w:rPr>
          <w:rtl w:val="0"/>
        </w:rPr>
      </w:r>
    </w:p>
    <w:p w:rsidR="00000000" w:rsidDel="00000000" w:rsidP="00000000" w:rsidRDefault="00000000" w:rsidRPr="00000000" w14:paraId="0000012A">
      <w:pPr>
        <w:widowControl w:val="1"/>
        <w:numPr>
          <w:ilvl w:val="2"/>
          <w:numId w:val="21"/>
        </w:numPr>
        <w:spacing w:after="60" w:before="60"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contenere espressa menzione dell’oggetto del contratto di appalto e del soggetto garantito (stazione appaltante);</w:t>
      </w:r>
    </w:p>
    <w:p w:rsidR="00000000" w:rsidDel="00000000" w:rsidP="00000000" w:rsidRDefault="00000000" w:rsidRPr="00000000" w14:paraId="0000012B">
      <w:pPr>
        <w:widowControl w:val="1"/>
        <w:numPr>
          <w:ilvl w:val="2"/>
          <w:numId w:val="21"/>
        </w:numPr>
        <w:spacing w:after="60" w:before="60"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essere intestata a tutti gli operatori economici del costituito/costituendo raggruppamento temporaneo o consorzio ordinario o GEIE, ovvero a tutte le imprese retiste che partecipano alla gara ovvero, in caso di consorzi di cui all’articolo 65, comma 2 lettere b), c), d) del Codice, al solo consorzio;</w:t>
      </w:r>
    </w:p>
    <w:p w:rsidR="00000000" w:rsidDel="00000000" w:rsidP="00000000" w:rsidRDefault="00000000" w:rsidRPr="00000000" w14:paraId="0000012C">
      <w:pPr>
        <w:widowControl w:val="1"/>
        <w:numPr>
          <w:ilvl w:val="2"/>
          <w:numId w:val="21"/>
        </w:numPr>
        <w:spacing w:after="60" w:before="60"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essere conforme allo schema tipo approvato con decreto del Ministro dello sviluppo economico del 16 settembre 2022 n. 193;</w:t>
      </w:r>
    </w:p>
    <w:p w:rsidR="00000000" w:rsidDel="00000000" w:rsidP="00000000" w:rsidRDefault="00000000" w:rsidRPr="00000000" w14:paraId="0000012D">
      <w:pPr>
        <w:widowControl w:val="1"/>
        <w:numPr>
          <w:ilvl w:val="2"/>
          <w:numId w:val="21"/>
        </w:numPr>
        <w:spacing w:after="60" w:before="60" w:line="276" w:lineRule="auto"/>
        <w:ind w:left="284" w:hanging="284"/>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avere validità per 180</w:t>
      </w:r>
      <w:r w:rsidDel="00000000" w:rsidR="00000000" w:rsidRPr="00000000">
        <w:rPr>
          <w:rFonts w:ascii="Titillium" w:cs="Titillium" w:eastAsia="Titillium" w:hAnsi="Titillium"/>
          <w:i w:val="1"/>
          <w:sz w:val="18"/>
          <w:szCs w:val="18"/>
          <w:rtl w:val="0"/>
        </w:rPr>
        <w:t xml:space="preserve"> </w:t>
      </w:r>
      <w:r w:rsidDel="00000000" w:rsidR="00000000" w:rsidRPr="00000000">
        <w:rPr>
          <w:rFonts w:ascii="Titillium" w:cs="Titillium" w:eastAsia="Titillium" w:hAnsi="Titillium"/>
          <w:sz w:val="18"/>
          <w:szCs w:val="18"/>
          <w:rtl w:val="0"/>
        </w:rPr>
        <w:t xml:space="preserve">giorni</w:t>
      </w:r>
      <w:r w:rsidDel="00000000" w:rsidR="00000000" w:rsidRPr="00000000">
        <w:rPr>
          <w:rFonts w:ascii="Titillium" w:cs="Titillium" w:eastAsia="Titillium" w:hAnsi="Titillium"/>
          <w:i w:val="1"/>
          <w:sz w:val="18"/>
          <w:szCs w:val="18"/>
          <w:rtl w:val="0"/>
        </w:rPr>
        <w:t xml:space="preserve"> </w:t>
      </w:r>
      <w:r w:rsidDel="00000000" w:rsidR="00000000" w:rsidRPr="00000000">
        <w:rPr>
          <w:rFonts w:ascii="Titillium" w:cs="Titillium" w:eastAsia="Titillium" w:hAnsi="Titillium"/>
          <w:sz w:val="18"/>
          <w:szCs w:val="18"/>
          <w:rtl w:val="0"/>
        </w:rPr>
        <w:t xml:space="preserve">dalla data di presentazione dell’offerta; </w:t>
      </w:r>
      <w:r w:rsidDel="00000000" w:rsidR="00000000" w:rsidRPr="00000000">
        <w:rPr>
          <w:rtl w:val="0"/>
        </w:rPr>
      </w:r>
    </w:p>
    <w:p w:rsidR="00000000" w:rsidDel="00000000" w:rsidP="00000000" w:rsidRDefault="00000000" w:rsidRPr="00000000" w14:paraId="0000012E">
      <w:pPr>
        <w:widowControl w:val="1"/>
        <w:numPr>
          <w:ilvl w:val="2"/>
          <w:numId w:val="21"/>
        </w:numPr>
        <w:spacing w:after="60" w:before="60"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prevedere espressamente: </w:t>
      </w:r>
    </w:p>
    <w:p w:rsidR="00000000" w:rsidDel="00000000" w:rsidP="00000000" w:rsidRDefault="00000000" w:rsidRPr="00000000" w14:paraId="0000012F">
      <w:pPr>
        <w:widowControl w:val="1"/>
        <w:numPr>
          <w:ilvl w:val="3"/>
          <w:numId w:val="21"/>
        </w:numPr>
        <w:spacing w:after="60" w:before="60" w:line="276" w:lineRule="auto"/>
        <w:ind w:left="709" w:hanging="425"/>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rinuncia al beneficio della preventiva escussione del debitore principale di cui all’articolo 1944 del Codice civile; </w:t>
      </w:r>
    </w:p>
    <w:p w:rsidR="00000000" w:rsidDel="00000000" w:rsidP="00000000" w:rsidRDefault="00000000" w:rsidRPr="00000000" w14:paraId="00000130">
      <w:pPr>
        <w:widowControl w:val="1"/>
        <w:numPr>
          <w:ilvl w:val="3"/>
          <w:numId w:val="21"/>
        </w:numPr>
        <w:spacing w:after="60" w:before="60" w:line="276" w:lineRule="auto"/>
        <w:ind w:left="709" w:hanging="425"/>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rinuncia ad eccepire la decorrenza dei termini di cui all’articolo 1957, secondo comma, del Codice civile; </w:t>
      </w:r>
    </w:p>
    <w:p w:rsidR="00000000" w:rsidDel="00000000" w:rsidP="00000000" w:rsidRDefault="00000000" w:rsidRPr="00000000" w14:paraId="00000131">
      <w:pPr>
        <w:widowControl w:val="1"/>
        <w:numPr>
          <w:ilvl w:val="3"/>
          <w:numId w:val="21"/>
        </w:numPr>
        <w:spacing w:after="60" w:before="60" w:line="276" w:lineRule="auto"/>
        <w:ind w:left="709" w:hanging="425"/>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l’operatività della stessa entro quindici giorni a semplice richiesta scritta della stazione appaltante. </w:t>
      </w:r>
      <w:r w:rsidDel="00000000" w:rsidR="00000000" w:rsidRPr="00000000">
        <w:rPr>
          <w:rtl w:val="0"/>
        </w:rPr>
      </w:r>
    </w:p>
    <w:p w:rsidR="00000000" w:rsidDel="00000000" w:rsidP="00000000" w:rsidRDefault="00000000" w:rsidRPr="00000000" w14:paraId="00000132">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Ai sensi dell’art. 106, comma 8, del Codice l’importo della garanzia è ridotto nei termini di seguito indicati.</w:t>
      </w:r>
    </w:p>
    <w:p w:rsidR="00000000" w:rsidDel="00000000" w:rsidP="00000000" w:rsidRDefault="00000000" w:rsidRPr="00000000" w14:paraId="00000133">
      <w:pPr>
        <w:widowControl w:val="1"/>
        <w:numPr>
          <w:ilvl w:val="1"/>
          <w:numId w:val="17"/>
        </w:numPr>
        <w:spacing w:after="60" w:before="60" w:line="276" w:lineRule="auto"/>
        <w:ind w:left="284"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Riduzione del 30% in caso di possesso della certificazione di qualità conforme alle norme europee della serie UNI CEI ISO 9000. In caso di partecipazione in forma associata, la riduzione si ottiene:</w:t>
      </w:r>
    </w:p>
    <w:p w:rsidR="00000000" w:rsidDel="00000000" w:rsidP="00000000" w:rsidRDefault="00000000" w:rsidRPr="00000000" w14:paraId="00000134">
      <w:pPr>
        <w:widowControl w:val="1"/>
        <w:numPr>
          <w:ilvl w:val="1"/>
          <w:numId w:val="4"/>
        </w:numPr>
        <w:spacing w:after="60" w:before="60" w:line="276" w:lineRule="auto"/>
        <w:ind w:left="567"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per i soggetti di cui all’articolo 65, comma 2, lettere e), f), g), h) del Codice solo se tutti soggetti che costituiscono il raggruppamento, consorzio ordinario o GEIE, o tutte le imprese retiste che partecipano alla gara siano in possesso della certificazione;</w:t>
      </w:r>
    </w:p>
    <w:p w:rsidR="00000000" w:rsidDel="00000000" w:rsidP="00000000" w:rsidRDefault="00000000" w:rsidRPr="00000000" w14:paraId="00000135">
      <w:pPr>
        <w:widowControl w:val="1"/>
        <w:numPr>
          <w:ilvl w:val="1"/>
          <w:numId w:val="4"/>
        </w:numPr>
        <w:spacing w:after="60" w:before="60" w:line="276" w:lineRule="auto"/>
        <w:ind w:left="567"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per i consorzi di cui all’articolo 65, comma 2, lettere b), c), d) del Codice, se il Consorzio ha dichiarato in fase di offerta che intende eseguire con risorse proprie, solo se il Consorzio possiede la predetta certificazione;  se  il Consorzio ha indicato in fase di offerta che intende assegnare parte delle prestazioni a una o più consorziate individuate nell’offerta, solo se sia il Consorzio sia la consorziata designata posseggono la predetta certificazione, o in alternativa,</w:t>
      </w:r>
      <w:r w:rsidDel="00000000" w:rsidR="00000000" w:rsidRPr="00000000">
        <w:rPr>
          <w:rFonts w:ascii="Titillium" w:cs="Titillium" w:eastAsia="Titillium" w:hAnsi="Titillium"/>
          <w:i w:val="1"/>
          <w:sz w:val="18"/>
          <w:szCs w:val="18"/>
          <w:rtl w:val="0"/>
        </w:rPr>
        <w:t xml:space="preserve"> </w:t>
      </w:r>
      <w:r w:rsidDel="00000000" w:rsidR="00000000" w:rsidRPr="00000000">
        <w:rPr>
          <w:rFonts w:ascii="Titillium" w:cs="Titillium" w:eastAsia="Titillium" w:hAnsi="Titillium"/>
          <w:sz w:val="18"/>
          <w:szCs w:val="18"/>
          <w:rtl w:val="0"/>
        </w:rPr>
        <w:t xml:space="preserve">se il solo Consorzio possiede la predetta certificazione e l’ambito di certificazione del suo sistema gestionale include la verifica che l’erogazione della prestazione da parte della consorziata rispetti gli standard fissati dalla certificazione. </w:t>
      </w:r>
    </w:p>
    <w:p w:rsidR="00000000" w:rsidDel="00000000" w:rsidP="00000000" w:rsidRDefault="00000000" w:rsidRPr="00000000" w14:paraId="00000136">
      <w:pPr>
        <w:widowControl w:val="1"/>
        <w:numPr>
          <w:ilvl w:val="1"/>
          <w:numId w:val="17"/>
        </w:numPr>
        <w:spacing w:after="60" w:before="60" w:line="276" w:lineRule="auto"/>
        <w:ind w:left="284"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Riduzione del 50% in caso di partecipazione di micro, piccole e medie imprese e di raggruppamenti di operatori economici o consorzi ordinari costituiti esclusivamente da micro, piccole e medie imprese. Tale riduzione non è cumulabile con quella indicata alla lett. a).</w:t>
      </w:r>
    </w:p>
    <w:p w:rsidR="00000000" w:rsidDel="00000000" w:rsidP="00000000" w:rsidRDefault="00000000" w:rsidRPr="00000000" w14:paraId="00000137">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38">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Per fruire delle riduzioni di cui all’articolo 106, comma 8 del Codice, il concorrente dichiara nella domanda di partecipazione il possesso delle certificazioni e inserisce copia delle certificazioni possedute qualora non già presenti nel fascicolo virtuale.</w:t>
      </w:r>
      <w:r w:rsidDel="00000000" w:rsidR="00000000" w:rsidRPr="00000000">
        <w:rPr>
          <w:rtl w:val="0"/>
        </w:rPr>
      </w:r>
    </w:p>
    <w:p w:rsidR="00000000" w:rsidDel="00000000" w:rsidP="00000000" w:rsidRDefault="00000000" w:rsidRPr="00000000" w14:paraId="00000139">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È sanabile, mediante soccorso istruttorio, la mancata presentazione della garanzia provvisoria solo a condizione che sia stata già costituita prima della presentazione dell’offerta. </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13A">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Non è sanabile - e quindi è causa di esclusione - la sottoscrizione della garanzia provvisoria da parte di un soggetto non legittimato a rilasciare la garanzia o non autorizzato ad impegnare il garante. </w:t>
      </w:r>
      <w:r w:rsidDel="00000000" w:rsidR="00000000" w:rsidRPr="00000000">
        <w:rPr>
          <w:rtl w:val="0"/>
        </w:rPr>
      </w:r>
    </w:p>
    <w:p w:rsidR="00000000" w:rsidDel="00000000" w:rsidP="00000000" w:rsidRDefault="00000000" w:rsidRPr="00000000" w14:paraId="0000013B">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ihv636" w:id="36"/>
      <w:bookmarkEnd w:id="36"/>
      <w:r w:rsidDel="00000000" w:rsidR="00000000" w:rsidRPr="00000000">
        <w:rPr>
          <w:rFonts w:ascii="Titillium" w:cs="Titillium" w:eastAsia="Titillium" w:hAnsi="Titillium"/>
          <w:b w:val="1"/>
          <w:smallCaps w:val="1"/>
          <w:sz w:val="18"/>
          <w:szCs w:val="18"/>
          <w:rtl w:val="0"/>
        </w:rPr>
        <w:t xml:space="preserve">SOPRALLUOGO</w:t>
      </w:r>
      <w:r w:rsidDel="00000000" w:rsidR="00000000" w:rsidRPr="00000000">
        <w:rPr>
          <w:rtl w:val="0"/>
        </w:rPr>
      </w:r>
    </w:p>
    <w:p w:rsidR="00000000" w:rsidDel="00000000" w:rsidP="00000000" w:rsidRDefault="00000000" w:rsidRPr="00000000" w14:paraId="0000013C">
      <w:pPr>
        <w:widowControl w:val="1"/>
        <w:spacing w:after="60" w:before="60" w:line="276" w:lineRule="auto"/>
        <w:jc w:val="both"/>
        <w:rPr>
          <w:rFonts w:ascii="Titillium" w:cs="Titillium" w:eastAsia="Titillium" w:hAnsi="Titillium"/>
          <w:sz w:val="18"/>
          <w:szCs w:val="18"/>
        </w:rPr>
      </w:pPr>
      <w:bookmarkStart w:colFirst="0" w:colLast="0" w:name="_heading=h.32hioqz" w:id="37"/>
      <w:bookmarkEnd w:id="37"/>
      <w:r w:rsidDel="00000000" w:rsidR="00000000" w:rsidRPr="00000000">
        <w:rPr>
          <w:rFonts w:ascii="Titillium" w:cs="Titillium" w:eastAsia="Titillium" w:hAnsi="Titillium"/>
          <w:sz w:val="18"/>
          <w:szCs w:val="18"/>
          <w:rtl w:val="0"/>
        </w:rPr>
        <w:t xml:space="preserve">Il sopralluogo non è previsto. </w:t>
      </w:r>
    </w:p>
    <w:p w:rsidR="00000000" w:rsidDel="00000000" w:rsidP="00000000" w:rsidRDefault="00000000" w:rsidRPr="00000000" w14:paraId="0000013D">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3E">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3F">
      <w:pPr>
        <w:widowControl w:val="1"/>
        <w:spacing w:after="60" w:before="60" w:line="276" w:lineRule="auto"/>
        <w:jc w:val="both"/>
        <w:rPr>
          <w:rFonts w:ascii="Garamond" w:cs="Garamond" w:eastAsia="Garamond" w:hAnsi="Garamond"/>
          <w:b w:val="1"/>
          <w:smallCaps w:val="1"/>
        </w:rPr>
      </w:pPr>
      <w:r w:rsidDel="00000000" w:rsidR="00000000" w:rsidRPr="00000000">
        <w:rPr>
          <w:rFonts w:ascii="Titillium" w:cs="Titillium" w:eastAsia="Titillium" w:hAnsi="Titillium"/>
          <w:b w:val="1"/>
          <w:smallCaps w:val="1"/>
          <w:sz w:val="18"/>
          <w:szCs w:val="18"/>
          <w:rtl w:val="0"/>
        </w:rPr>
        <w:t xml:space="preserve">PAGAMENTO DEL CONTRIBUTO A FAVORE DELL’ANAC</w:t>
      </w:r>
      <w:r w:rsidDel="00000000" w:rsidR="00000000" w:rsidRPr="00000000">
        <w:rPr>
          <w:rtl w:val="0"/>
        </w:rPr>
      </w:r>
    </w:p>
    <w:p w:rsidR="00000000" w:rsidDel="00000000" w:rsidP="00000000" w:rsidRDefault="00000000" w:rsidRPr="00000000" w14:paraId="00000140">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 concorrenti effettuano il pagamento del contributo previsto dalla legge in favore dell’Autorità Nazionale Anticorruzione per un importo pari a </w:t>
      </w:r>
      <w:r w:rsidDel="00000000" w:rsidR="00000000" w:rsidRPr="00000000">
        <w:rPr>
          <w:rFonts w:ascii="Titillium" w:cs="Titillium" w:eastAsia="Titillium" w:hAnsi="Titillium"/>
          <w:sz w:val="18"/>
          <w:szCs w:val="18"/>
          <w:highlight w:val="white"/>
          <w:rtl w:val="0"/>
        </w:rPr>
        <w:t xml:space="preserve">€ 77,00</w:t>
      </w:r>
      <w:r w:rsidDel="00000000" w:rsidR="00000000" w:rsidRPr="00000000">
        <w:rPr>
          <w:rFonts w:ascii="Verdana" w:cs="Verdana" w:eastAsia="Verdana" w:hAnsi="Verdana"/>
          <w:highlight w:val="white"/>
          <w:rtl w:val="0"/>
        </w:rPr>
        <w:t xml:space="preserve"> </w:t>
      </w:r>
      <w:r w:rsidDel="00000000" w:rsidR="00000000" w:rsidRPr="00000000">
        <w:rPr>
          <w:rFonts w:ascii="Verdana" w:cs="Verdana" w:eastAsia="Verdana" w:hAnsi="Verdana"/>
          <w:sz w:val="18"/>
          <w:szCs w:val="18"/>
          <w:rtl w:val="0"/>
        </w:rPr>
        <w:t xml:space="preserve">secondo</w:t>
      </w:r>
      <w:r w:rsidDel="00000000" w:rsidR="00000000" w:rsidRPr="00000000">
        <w:rPr>
          <w:rFonts w:ascii="Titillium" w:cs="Titillium" w:eastAsia="Titillium" w:hAnsi="Titillium"/>
          <w:sz w:val="18"/>
          <w:szCs w:val="18"/>
          <w:rtl w:val="0"/>
        </w:rPr>
        <w:t xml:space="preserve"> le modalità di cui al seguente link</w:t>
      </w:r>
      <w:r w:rsidDel="00000000" w:rsidR="00000000" w:rsidRPr="00000000">
        <w:rPr>
          <w:rFonts w:ascii="Titillium" w:cs="Titillium" w:eastAsia="Titillium" w:hAnsi="Titillium"/>
          <w:i w:val="1"/>
          <w:sz w:val="18"/>
          <w:szCs w:val="18"/>
          <w:rtl w:val="0"/>
        </w:rPr>
        <w:t xml:space="preserve"> </w:t>
      </w:r>
      <w:hyperlink r:id="rId17">
        <w:r w:rsidDel="00000000" w:rsidR="00000000" w:rsidRPr="00000000">
          <w:rPr>
            <w:rFonts w:ascii="Titillium" w:cs="Titillium" w:eastAsia="Titillium" w:hAnsi="Titillium"/>
            <w:i w:val="1"/>
            <w:color w:val="0563c1"/>
            <w:sz w:val="18"/>
            <w:szCs w:val="18"/>
            <w:u w:val="single"/>
            <w:rtl w:val="0"/>
          </w:rPr>
          <w:t xml:space="preserve">https://www.anticorruzione.it/-/gestione-contributi-gara</w:t>
        </w:r>
      </w:hyperlink>
      <w:r w:rsidDel="00000000" w:rsidR="00000000" w:rsidRPr="00000000">
        <w:rPr>
          <w:rFonts w:ascii="Titillium" w:cs="Titillium" w:eastAsia="Titillium" w:hAnsi="Titillium"/>
          <w:i w:val="1"/>
          <w:sz w:val="18"/>
          <w:szCs w:val="18"/>
          <w:rtl w:val="0"/>
        </w:rPr>
        <w:t xml:space="preserve"> </w:t>
      </w:r>
      <w:r w:rsidDel="00000000" w:rsidR="00000000" w:rsidRPr="00000000">
        <w:rPr>
          <w:rFonts w:ascii="Titillium" w:cs="Titillium" w:eastAsia="Titillium" w:hAnsi="Titillium"/>
          <w:sz w:val="18"/>
          <w:szCs w:val="18"/>
          <w:rtl w:val="0"/>
        </w:rPr>
        <w:t xml:space="preserve">Il pagamento del contributo è condizione di ammissibilità dell’offerta. Il pagamento è verificato mediante il FVOE. In caso di esito negativo della verifica, è attivata la procedura di soccorso istruttorio. In caso di mancata regolarizzazione nel termine assegnato, l’offerta è dichiarata inammissibile.</w:t>
      </w:r>
    </w:p>
    <w:p w:rsidR="00000000" w:rsidDel="00000000" w:rsidP="00000000" w:rsidRDefault="00000000" w:rsidRPr="00000000" w14:paraId="00000141">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stazione appaltante accerta il pagamento del contributo mediante consultazione del FVOE ai fini dell’ammissione alla gara. </w:t>
      </w:r>
      <w:r w:rsidDel="00000000" w:rsidR="00000000" w:rsidRPr="00000000">
        <w:rPr>
          <w:rtl w:val="0"/>
        </w:rPr>
      </w:r>
    </w:p>
    <w:p w:rsidR="00000000" w:rsidDel="00000000" w:rsidP="00000000" w:rsidRDefault="00000000" w:rsidRPr="00000000" w14:paraId="00000142">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Qualora il pagamento non risulti registrato nel sistema, la stazione appaltante richiede, mediante soccorso istruttorio, la presentazione della ricevuta di avvenuto pagamento. L’operatore economico che non adempia alla richiesta nel termine stabilito dalla stazione appaltante è escluso dalla procedura di gara per inammissibilità dell’offerta.</w:t>
      </w:r>
    </w:p>
    <w:p w:rsidR="00000000" w:rsidDel="00000000" w:rsidP="00000000" w:rsidRDefault="00000000" w:rsidRPr="00000000" w14:paraId="00000143">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1hmsyys" w:id="38"/>
      <w:bookmarkEnd w:id="38"/>
      <w:r w:rsidDel="00000000" w:rsidR="00000000" w:rsidRPr="00000000">
        <w:rPr>
          <w:rFonts w:ascii="Titillium" w:cs="Titillium" w:eastAsia="Titillium" w:hAnsi="Titillium"/>
          <w:b w:val="1"/>
          <w:smallCaps w:val="1"/>
          <w:sz w:val="18"/>
          <w:szCs w:val="18"/>
          <w:rtl w:val="0"/>
        </w:rPr>
        <w:t xml:space="preserve">MODALIT</w:t>
      </w:r>
      <w:r w:rsidDel="00000000" w:rsidR="00000000" w:rsidRPr="00000000">
        <w:rPr>
          <w:rFonts w:ascii="Titillium" w:cs="Titillium" w:eastAsia="Titillium" w:hAnsi="Titillium"/>
          <w:b w:val="1"/>
          <w:sz w:val="18"/>
          <w:szCs w:val="18"/>
          <w:rtl w:val="0"/>
        </w:rPr>
        <w:t xml:space="preserve">À</w:t>
      </w:r>
      <w:r w:rsidDel="00000000" w:rsidR="00000000" w:rsidRPr="00000000">
        <w:rPr>
          <w:rFonts w:ascii="Titillium" w:cs="Titillium" w:eastAsia="Titillium" w:hAnsi="Titillium"/>
          <w:b w:val="1"/>
          <w:smallCaps w:val="1"/>
          <w:sz w:val="18"/>
          <w:szCs w:val="18"/>
          <w:rtl w:val="0"/>
        </w:rPr>
        <w:t xml:space="preserve"> DI </w:t>
      </w:r>
      <w:r w:rsidDel="00000000" w:rsidR="00000000" w:rsidRPr="00000000">
        <w:rPr>
          <w:rFonts w:ascii="Titillium" w:cs="Titillium" w:eastAsia="Titillium" w:hAnsi="Titillium"/>
          <w:b w:val="1"/>
          <w:sz w:val="18"/>
          <w:szCs w:val="18"/>
          <w:rtl w:val="0"/>
        </w:rPr>
        <w:t xml:space="preserve">PRESENTAZIONE DELL’OFFERTA E SOTTOSCRIZIONE DEI DOCUMENTI DI GARA </w:t>
      </w:r>
      <w:r w:rsidDel="00000000" w:rsidR="00000000" w:rsidRPr="00000000">
        <w:rPr>
          <w:rtl w:val="0"/>
        </w:rPr>
      </w:r>
    </w:p>
    <w:p w:rsidR="00000000" w:rsidDel="00000000" w:rsidP="00000000" w:rsidRDefault="00000000" w:rsidRPr="00000000" w14:paraId="00000144">
      <w:pPr>
        <w:widowControl w:val="1"/>
        <w:tabs>
          <w:tab w:val="left" w:leader="none" w:pos="360"/>
        </w:tabs>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L’offerta e la documentazione relativa alla procedura devono essere presentate esclusivamente attraverso la Piattaforma. Non sono considerate valide le offerte presentate attraverso modalità diverse da quelle previste nel presente disciplinare. L’offerta e la documentazione devono essere sottoscritte con firma digitale o altra firma elettronica qualificata o firma elettronica avanzata.</w:t>
      </w:r>
    </w:p>
    <w:p w:rsidR="00000000" w:rsidDel="00000000" w:rsidP="00000000" w:rsidRDefault="00000000" w:rsidRPr="00000000" w14:paraId="0000014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dichiarazioni sostitutive si redigono ai sensi degli articoli 19, 46 e 47 del decreto del Presidente della Repubblica n.  445/2000. </w:t>
      </w:r>
    </w:p>
    <w:p w:rsidR="00000000" w:rsidDel="00000000" w:rsidP="00000000" w:rsidRDefault="00000000" w:rsidRPr="00000000" w14:paraId="00000146">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documentazione presentata in copia viene prodotta ai sensi del decreto legislativo n. 82/05. </w:t>
      </w:r>
      <w:r w:rsidDel="00000000" w:rsidR="00000000" w:rsidRPr="00000000">
        <w:rPr>
          <w:rtl w:val="0"/>
        </w:rPr>
      </w:r>
    </w:p>
    <w:p w:rsidR="00000000" w:rsidDel="00000000" w:rsidP="00000000" w:rsidRDefault="00000000" w:rsidRPr="00000000" w14:paraId="00000147">
      <w:pPr>
        <w:widowControl w:val="1"/>
        <w:tabs>
          <w:tab w:val="left" w:leader="none" w:pos="360"/>
        </w:tabs>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b w:val="1"/>
          <w:sz w:val="18"/>
          <w:szCs w:val="18"/>
          <w:u w:val="single"/>
          <w:rtl w:val="0"/>
        </w:rPr>
        <w:t xml:space="preserve">L’offerta deve pervenire entro e non oltre le ore 10,00</w:t>
      </w:r>
      <w:r w:rsidDel="00000000" w:rsidR="00000000" w:rsidRPr="00000000">
        <w:rPr>
          <w:rFonts w:ascii="Titillium" w:cs="Titillium" w:eastAsia="Titillium" w:hAnsi="Titillium"/>
          <w:b w:val="1"/>
          <w:i w:val="1"/>
          <w:sz w:val="18"/>
          <w:szCs w:val="18"/>
          <w:u w:val="single"/>
          <w:rtl w:val="0"/>
        </w:rPr>
        <w:t xml:space="preserve"> </w:t>
      </w:r>
      <w:r w:rsidDel="00000000" w:rsidR="00000000" w:rsidRPr="00000000">
        <w:rPr>
          <w:rFonts w:ascii="Titillium" w:cs="Titillium" w:eastAsia="Titillium" w:hAnsi="Titillium"/>
          <w:b w:val="1"/>
          <w:sz w:val="18"/>
          <w:szCs w:val="18"/>
          <w:u w:val="single"/>
          <w:rtl w:val="0"/>
        </w:rPr>
        <w:t xml:space="preserve">del giorno 10/05/2024 a pena di irricevibilità</w:t>
      </w:r>
      <w:r w:rsidDel="00000000" w:rsidR="00000000" w:rsidRPr="00000000">
        <w:rPr>
          <w:rFonts w:ascii="Titillium" w:cs="Titillium" w:eastAsia="Titillium" w:hAnsi="Titillium"/>
          <w:sz w:val="18"/>
          <w:szCs w:val="18"/>
          <w:rtl w:val="0"/>
        </w:rPr>
        <w:t xml:space="preserve">.</w:t>
      </w:r>
    </w:p>
    <w:p w:rsidR="00000000" w:rsidDel="00000000" w:rsidP="00000000" w:rsidRDefault="00000000" w:rsidRPr="00000000" w14:paraId="00000148">
      <w:pPr>
        <w:widowControl w:val="1"/>
        <w:tabs>
          <w:tab w:val="left" w:leader="none" w:pos="360"/>
        </w:tabs>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Piattaforma non accetta offerte presentate dopo la data e l’orario stabiliti come termine ultimo di presentazione dell’offerta. </w:t>
      </w:r>
    </w:p>
    <w:p w:rsidR="00000000" w:rsidDel="00000000" w:rsidP="00000000" w:rsidRDefault="00000000" w:rsidRPr="00000000" w14:paraId="00000149">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Per l’individuazione di data e ora di arrivo dell’offerta fa fede l’orario registrato dalla Piattaforma.</w:t>
      </w:r>
      <w:r w:rsidDel="00000000" w:rsidR="00000000" w:rsidRPr="00000000">
        <w:rPr>
          <w:rtl w:val="0"/>
        </w:rPr>
      </w:r>
    </w:p>
    <w:p w:rsidR="00000000" w:rsidDel="00000000" w:rsidP="00000000" w:rsidRDefault="00000000" w:rsidRPr="00000000" w14:paraId="0000014A">
      <w:pPr>
        <w:spacing w:after="60" w:before="60" w:line="280" w:lineRule="auto"/>
        <w:jc w:val="both"/>
        <w:rPr>
          <w:rFonts w:ascii="Garamond" w:cs="Garamond" w:eastAsia="Garamond" w:hAnsi="Garamond"/>
        </w:rPr>
      </w:pPr>
      <w:r w:rsidDel="00000000" w:rsidR="00000000" w:rsidRPr="00000000">
        <w:rPr>
          <w:rFonts w:ascii="Titillium" w:cs="Titillium" w:eastAsia="Titillium" w:hAnsi="Titillium"/>
          <w:color w:val="000000"/>
          <w:sz w:val="18"/>
          <w:szCs w:val="18"/>
          <w:rtl w:val="0"/>
        </w:rPr>
        <w:t xml:space="preserve">Le operazioni di inserimento sulla Piattaforma di tutta la documentazione richiesta rimangono ad esclusivo rischio del concorrente. Si invitano pertanto i concorrenti ad avviare tali attività con congruo anticipo rispetto alla scadenza prevista onde evitare la non completa e quindi mancata trasmissione dell’offerta entro il termine previsto.</w:t>
      </w:r>
      <w:r w:rsidDel="00000000" w:rsidR="00000000" w:rsidRPr="00000000">
        <w:rPr>
          <w:rFonts w:ascii="Titillium" w:cs="Titillium" w:eastAsia="Titillium" w:hAnsi="Titillium"/>
          <w:sz w:val="18"/>
          <w:szCs w:val="18"/>
          <w:rtl w:val="0"/>
        </w:rPr>
        <w:t xml:space="preserve"> </w:t>
      </w:r>
      <w:r w:rsidDel="00000000" w:rsidR="00000000" w:rsidRPr="00000000">
        <w:rPr>
          <w:rtl w:val="0"/>
        </w:rPr>
      </w:r>
    </w:p>
    <w:p w:rsidR="00000000" w:rsidDel="00000000" w:rsidP="00000000" w:rsidRDefault="00000000" w:rsidRPr="00000000" w14:paraId="0000014B">
      <w:pPr>
        <w:spacing w:after="60" w:before="60" w:line="280"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Qualora si verifichi un mancato funzionamento o un malfunzionamento della Piattaforma si applica quanto previsto al</w:t>
      </w:r>
    </w:p>
    <w:p w:rsidR="00000000" w:rsidDel="00000000" w:rsidP="00000000" w:rsidRDefault="00000000" w:rsidRPr="00000000" w14:paraId="0000014C">
      <w:pPr>
        <w:spacing w:after="60" w:before="60" w:line="280"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paragrafo 1.</w:t>
      </w:r>
      <w:r w:rsidDel="00000000" w:rsidR="00000000" w:rsidRPr="00000000">
        <w:rPr>
          <w:rtl w:val="0"/>
        </w:rPr>
      </w:r>
    </w:p>
    <w:p w:rsidR="00000000" w:rsidDel="00000000" w:rsidP="00000000" w:rsidRDefault="00000000" w:rsidRPr="00000000" w14:paraId="0000014D">
      <w:pPr>
        <w:widowControl w:val="1"/>
        <w:spacing w:after="60" w:before="6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14E">
      <w:pPr>
        <w:widowControl w:val="1"/>
        <w:spacing w:after="60" w:before="6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14F">
      <w:pPr>
        <w:pStyle w:val="Heading4"/>
        <w:rPr/>
      </w:pPr>
      <w:bookmarkStart w:colFirst="0" w:colLast="0" w:name="_heading=h.41mghml" w:id="39"/>
      <w:bookmarkEnd w:id="39"/>
      <w:r w:rsidDel="00000000" w:rsidR="00000000" w:rsidRPr="00000000">
        <w:rPr>
          <w:rtl w:val="0"/>
        </w:rPr>
        <w:t xml:space="preserve">Regole per la presentazione dell’offerta</w:t>
      </w:r>
    </w:p>
    <w:p w:rsidR="00000000" w:rsidDel="00000000" w:rsidP="00000000" w:rsidRDefault="00000000" w:rsidRPr="00000000" w14:paraId="00000150">
      <w:pPr>
        <w:spacing w:line="300" w:lineRule="auto"/>
        <w:jc w:val="both"/>
        <w:rPr/>
      </w:pPr>
      <w:r w:rsidDel="00000000" w:rsidR="00000000" w:rsidRPr="00000000">
        <w:rPr>
          <w:rFonts w:ascii="Titillium" w:cs="Titillium" w:eastAsia="Titillium" w:hAnsi="Titillium"/>
          <w:sz w:val="18"/>
          <w:szCs w:val="18"/>
          <w:rtl w:val="0"/>
        </w:rPr>
        <w:t xml:space="preserve">L’“</w:t>
      </w:r>
      <w:r w:rsidDel="00000000" w:rsidR="00000000" w:rsidRPr="00000000">
        <w:rPr>
          <w:rFonts w:ascii="Titillium" w:cs="Titillium" w:eastAsia="Titillium" w:hAnsi="Titillium"/>
          <w:b w:val="1"/>
          <w:i w:val="1"/>
          <w:sz w:val="18"/>
          <w:szCs w:val="18"/>
          <w:rtl w:val="0"/>
        </w:rPr>
        <w:t xml:space="preserve">OFFERTA</w:t>
      </w:r>
      <w:r w:rsidDel="00000000" w:rsidR="00000000" w:rsidRPr="00000000">
        <w:rPr>
          <w:rFonts w:ascii="Titillium" w:cs="Titillium" w:eastAsia="Titillium" w:hAnsi="Titillium"/>
          <w:sz w:val="18"/>
          <w:szCs w:val="18"/>
          <w:rtl w:val="0"/>
        </w:rPr>
        <w:t xml:space="preserve">” è composta da: </w:t>
      </w:r>
      <w:r w:rsidDel="00000000" w:rsidR="00000000" w:rsidRPr="00000000">
        <w:rPr>
          <w:rtl w:val="0"/>
        </w:rPr>
      </w:r>
    </w:p>
    <w:p w:rsidR="00000000" w:rsidDel="00000000" w:rsidP="00000000" w:rsidRDefault="00000000" w:rsidRPr="00000000" w14:paraId="00000151">
      <w:pPr>
        <w:spacing w:line="300" w:lineRule="auto"/>
        <w:ind w:left="567" w:firstLine="0"/>
        <w:jc w:val="both"/>
        <w:rPr/>
      </w:pPr>
      <w:r w:rsidDel="00000000" w:rsidR="00000000" w:rsidRPr="00000000">
        <w:rPr>
          <w:rFonts w:ascii="Titillium" w:cs="Titillium" w:eastAsia="Titillium" w:hAnsi="Titillium"/>
          <w:sz w:val="18"/>
          <w:szCs w:val="18"/>
          <w:rtl w:val="0"/>
        </w:rPr>
        <w:t xml:space="preserve">A – </w:t>
      </w:r>
      <w:r w:rsidDel="00000000" w:rsidR="00000000" w:rsidRPr="00000000">
        <w:rPr>
          <w:rFonts w:ascii="Titillium" w:cs="Titillium" w:eastAsia="Titillium" w:hAnsi="Titillium"/>
          <w:b w:val="1"/>
          <w:sz w:val="18"/>
          <w:szCs w:val="18"/>
          <w:rtl w:val="0"/>
        </w:rPr>
        <w:t xml:space="preserve">Documentazione amministrativa</w:t>
      </w:r>
      <w:r w:rsidDel="00000000" w:rsidR="00000000" w:rsidRPr="00000000">
        <w:rPr>
          <w:rFonts w:ascii="Titillium" w:cs="Titillium" w:eastAsia="Titillium" w:hAnsi="Titillium"/>
          <w:sz w:val="18"/>
          <w:szCs w:val="18"/>
          <w:rtl w:val="0"/>
        </w:rPr>
        <w:t xml:space="preserve">; </w:t>
      </w:r>
      <w:r w:rsidDel="00000000" w:rsidR="00000000" w:rsidRPr="00000000">
        <w:rPr>
          <w:rtl w:val="0"/>
        </w:rPr>
      </w:r>
    </w:p>
    <w:p w:rsidR="00000000" w:rsidDel="00000000" w:rsidP="00000000" w:rsidRDefault="00000000" w:rsidRPr="00000000" w14:paraId="00000152">
      <w:pPr>
        <w:spacing w:line="300" w:lineRule="auto"/>
        <w:ind w:left="567" w:firstLine="0"/>
        <w:jc w:val="both"/>
        <w:rPr/>
      </w:pPr>
      <w:r w:rsidDel="00000000" w:rsidR="00000000" w:rsidRPr="00000000">
        <w:rPr>
          <w:rFonts w:ascii="Titillium" w:cs="Titillium" w:eastAsia="Titillium" w:hAnsi="Titillium"/>
          <w:sz w:val="18"/>
          <w:szCs w:val="18"/>
          <w:rtl w:val="0"/>
        </w:rPr>
        <w:t xml:space="preserve">B – </w:t>
      </w:r>
      <w:r w:rsidDel="00000000" w:rsidR="00000000" w:rsidRPr="00000000">
        <w:rPr>
          <w:rFonts w:ascii="Titillium" w:cs="Titillium" w:eastAsia="Titillium" w:hAnsi="Titillium"/>
          <w:b w:val="1"/>
          <w:sz w:val="18"/>
          <w:szCs w:val="18"/>
          <w:rtl w:val="0"/>
        </w:rPr>
        <w:t xml:space="preserve">Offerta tecnica; </w:t>
      </w:r>
      <w:r w:rsidDel="00000000" w:rsidR="00000000" w:rsidRPr="00000000">
        <w:rPr>
          <w:rtl w:val="0"/>
        </w:rPr>
      </w:r>
    </w:p>
    <w:p w:rsidR="00000000" w:rsidDel="00000000" w:rsidP="00000000" w:rsidRDefault="00000000" w:rsidRPr="00000000" w14:paraId="00000153">
      <w:pPr>
        <w:spacing w:line="300" w:lineRule="auto"/>
        <w:ind w:left="567" w:firstLine="0"/>
        <w:jc w:val="both"/>
        <w:rPr/>
      </w:pPr>
      <w:r w:rsidDel="00000000" w:rsidR="00000000" w:rsidRPr="00000000">
        <w:rPr>
          <w:rFonts w:ascii="Titillium" w:cs="Titillium" w:eastAsia="Titillium" w:hAnsi="Titillium"/>
          <w:color w:val="000000"/>
          <w:sz w:val="18"/>
          <w:szCs w:val="18"/>
          <w:rtl w:val="0"/>
        </w:rPr>
        <w:t xml:space="preserve">C – </w:t>
      </w:r>
      <w:r w:rsidDel="00000000" w:rsidR="00000000" w:rsidRPr="00000000">
        <w:rPr>
          <w:rFonts w:ascii="Titillium" w:cs="Titillium" w:eastAsia="Titillium" w:hAnsi="Titillium"/>
          <w:b w:val="1"/>
          <w:color w:val="000000"/>
          <w:sz w:val="18"/>
          <w:szCs w:val="18"/>
          <w:rtl w:val="0"/>
        </w:rPr>
        <w:t xml:space="preserve">Offerta economica.</w:t>
      </w:r>
      <w:r w:rsidDel="00000000" w:rsidR="00000000" w:rsidRPr="00000000">
        <w:rPr>
          <w:rtl w:val="0"/>
        </w:rPr>
      </w:r>
    </w:p>
    <w:p w:rsidR="00000000" w:rsidDel="00000000" w:rsidP="00000000" w:rsidRDefault="00000000" w:rsidRPr="00000000" w14:paraId="00000154">
      <w:pPr>
        <w:spacing w:line="300" w:lineRule="auto"/>
        <w:jc w:val="both"/>
        <w:rPr>
          <w:rFonts w:ascii="Titillium" w:cs="Titillium" w:eastAsia="Titillium" w:hAnsi="Titillium"/>
          <w:sz w:val="20"/>
          <w:szCs w:val="20"/>
        </w:rPr>
      </w:pPr>
      <w:r w:rsidDel="00000000" w:rsidR="00000000" w:rsidRPr="00000000">
        <w:rPr>
          <w:rtl w:val="0"/>
        </w:rPr>
      </w:r>
    </w:p>
    <w:p w:rsidR="00000000" w:rsidDel="00000000" w:rsidP="00000000" w:rsidRDefault="00000000" w:rsidRPr="00000000" w14:paraId="0000015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L’operatore economico ha facoltà di inserire nella Piattaforma offerte successive che sostituiscono la precedente, ovvero ritirare l’offerta presentata, nel periodo di tempo compreso tra la data e ora di inizio e la data e ora di chiusura della fase di presentazione delle offerte. </w:t>
      </w:r>
      <w:r w:rsidDel="00000000" w:rsidR="00000000" w:rsidRPr="00000000">
        <w:rPr>
          <w:rFonts w:ascii="Titillium" w:cs="Titillium" w:eastAsia="Titillium" w:hAnsi="Titillium"/>
          <w:color w:val="000000"/>
          <w:sz w:val="18"/>
          <w:szCs w:val="18"/>
          <w:rtl w:val="0"/>
        </w:rPr>
        <w:t xml:space="preserve">La stazione appaltante considera esclusivamente l’ultima offerta presentata.</w:t>
      </w:r>
      <w:r w:rsidDel="00000000" w:rsidR="00000000" w:rsidRPr="00000000">
        <w:rPr>
          <w:rFonts w:ascii="Titillium" w:cs="Titillium" w:eastAsia="Titillium" w:hAnsi="Titillium"/>
          <w:sz w:val="18"/>
          <w:szCs w:val="18"/>
          <w:rtl w:val="0"/>
        </w:rPr>
        <w:t xml:space="preserve"> </w:t>
      </w:r>
    </w:p>
    <w:p w:rsidR="00000000" w:rsidDel="00000000" w:rsidP="00000000" w:rsidRDefault="00000000" w:rsidRPr="00000000" w14:paraId="00000156">
      <w:pPr>
        <w:spacing w:line="276" w:lineRule="auto"/>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Si precisa inoltre che: </w:t>
      </w:r>
    </w:p>
    <w:p w:rsidR="00000000" w:rsidDel="00000000" w:rsidP="00000000" w:rsidRDefault="00000000" w:rsidRPr="00000000" w14:paraId="00000157">
      <w:pPr>
        <w:widowControl w:val="1"/>
        <w:numPr>
          <w:ilvl w:val="0"/>
          <w:numId w:val="38"/>
        </w:numPr>
        <w:spacing w:after="70" w:line="276" w:lineRule="auto"/>
        <w:ind w:left="709" w:hanging="357"/>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l’offerta è vincolante per il concorrente;</w:t>
      </w:r>
    </w:p>
    <w:p w:rsidR="00000000" w:rsidDel="00000000" w:rsidP="00000000" w:rsidRDefault="00000000" w:rsidRPr="00000000" w14:paraId="00000158">
      <w:pPr>
        <w:widowControl w:val="1"/>
        <w:numPr>
          <w:ilvl w:val="0"/>
          <w:numId w:val="38"/>
        </w:numPr>
        <w:spacing w:line="276" w:lineRule="auto"/>
        <w:ind w:left="709" w:hanging="357"/>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con la trasmissione dell’offerta, il concorrente accetta tutta la documentazione di gara, allegati e chiarimenti inclusi.</w:t>
      </w:r>
    </w:p>
    <w:p w:rsidR="00000000" w:rsidDel="00000000" w:rsidP="00000000" w:rsidRDefault="00000000" w:rsidRPr="00000000" w14:paraId="00000159">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Al momento della ricezione delle offerte, ciascun concorrente riceve notifica del corretto recepimento della documentazione inviata. </w:t>
      </w:r>
      <w:r w:rsidDel="00000000" w:rsidR="00000000" w:rsidRPr="00000000">
        <w:rPr>
          <w:rtl w:val="0"/>
        </w:rPr>
      </w:r>
    </w:p>
    <w:p w:rsidR="00000000" w:rsidDel="00000000" w:rsidP="00000000" w:rsidRDefault="00000000" w:rsidRPr="00000000" w14:paraId="0000015A">
      <w:pPr>
        <w:spacing w:after="60" w:before="60" w:line="276" w:lineRule="auto"/>
        <w:jc w:val="both"/>
        <w:rPr>
          <w:rFonts w:ascii="Book Antiqua" w:cs="Book Antiqua" w:eastAsia="Book Antiqua" w:hAnsi="Book Antiqua"/>
          <w:color w:val="000000"/>
        </w:rPr>
      </w:pPr>
      <w:r w:rsidDel="00000000" w:rsidR="00000000" w:rsidRPr="00000000">
        <w:rPr>
          <w:rFonts w:ascii="Titillium" w:cs="Titillium" w:eastAsia="Titillium" w:hAnsi="Titillium"/>
          <w:color w:val="000000"/>
          <w:sz w:val="18"/>
          <w:szCs w:val="18"/>
          <w:rtl w:val="0"/>
        </w:rPr>
        <w:t xml:space="preserve">La Piattaforma consente al concorrente di visualizzare l’avvenuta trasmissione della domanda. </w:t>
      </w:r>
      <w:r w:rsidDel="00000000" w:rsidR="00000000" w:rsidRPr="00000000">
        <w:rPr>
          <w:rtl w:val="0"/>
        </w:rPr>
      </w:r>
    </w:p>
    <w:p w:rsidR="00000000" w:rsidDel="00000000" w:rsidP="00000000" w:rsidRDefault="00000000" w:rsidRPr="00000000" w14:paraId="0000015B">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Il concorrente che intenda partecipare in forma associata (per esempio raggruppamento temporaneo di imprese/Consorzi, sia costituiti che costituendi) in sede di presentazione dell’offerta indica la forma di partecipazione e indica gli operatori economici riuniti o consorziati. </w:t>
      </w:r>
      <w:r w:rsidDel="00000000" w:rsidR="00000000" w:rsidRPr="00000000">
        <w:rPr>
          <w:rtl w:val="0"/>
        </w:rPr>
      </w:r>
    </w:p>
    <w:p w:rsidR="00000000" w:rsidDel="00000000" w:rsidP="00000000" w:rsidRDefault="00000000" w:rsidRPr="00000000" w14:paraId="0000015C">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b w:val="1"/>
          <w:sz w:val="18"/>
          <w:szCs w:val="18"/>
          <w:rtl w:val="0"/>
        </w:rPr>
        <w:t xml:space="preserve">AVVERTENZE</w:t>
      </w:r>
      <w:r w:rsidDel="00000000" w:rsidR="00000000" w:rsidRPr="00000000">
        <w:rPr>
          <w:rFonts w:ascii="Titillium" w:cs="Titillium" w:eastAsia="Titillium" w:hAnsi="Titillium"/>
          <w:sz w:val="18"/>
          <w:szCs w:val="18"/>
          <w:rtl w:val="0"/>
        </w:rPr>
        <w:t xml:space="preserve">: Si precisa che la modulistica predisposta dalla Stazione Appaltante viene fornita a titolo meramente indicativo, senza che il concorrente partecipante possa nutrire alcun affidamento sul suo contenuto e dunque con espressa esenzione da responsabilità per il caso in cui la modulistica, non contenga dichiarazioni richieste, ovvero le contenga ma in modo non conforme alle specifiche condizioni del concorrente, rimanendo ad esclusivo carico dello stesso verificare di avere fornito tutte dichiarazioni richieste, anche emendando la modulistica da eventuali errori. </w:t>
      </w:r>
    </w:p>
    <w:p w:rsidR="00000000" w:rsidDel="00000000" w:rsidP="00000000" w:rsidRDefault="00000000" w:rsidRPr="00000000" w14:paraId="0000015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Tutta la documentazione da produrre deve essere in lingua italiana.</w:t>
      </w:r>
    </w:p>
    <w:p w:rsidR="00000000" w:rsidDel="00000000" w:rsidP="00000000" w:rsidRDefault="00000000" w:rsidRPr="00000000" w14:paraId="0000015E">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L’offerta vincola il concorrente per</w:t>
      </w:r>
      <w:r w:rsidDel="00000000" w:rsidR="00000000" w:rsidRPr="00000000">
        <w:rPr>
          <w:rFonts w:ascii="Titillium" w:cs="Titillium" w:eastAsia="Titillium" w:hAnsi="Titillium"/>
          <w:i w:val="1"/>
          <w:sz w:val="18"/>
          <w:szCs w:val="18"/>
          <w:rtl w:val="0"/>
        </w:rPr>
        <w:t xml:space="preserve"> 180 giorni </w:t>
      </w:r>
      <w:r w:rsidDel="00000000" w:rsidR="00000000" w:rsidRPr="00000000">
        <w:rPr>
          <w:rFonts w:ascii="Titillium" w:cs="Titillium" w:eastAsia="Titillium" w:hAnsi="Titillium"/>
          <w:sz w:val="18"/>
          <w:szCs w:val="18"/>
          <w:rtl w:val="0"/>
        </w:rPr>
        <w:t xml:space="preserve">dalla scadenza</w:t>
      </w:r>
      <w:r w:rsidDel="00000000" w:rsidR="00000000" w:rsidRPr="00000000">
        <w:rPr>
          <w:rFonts w:ascii="Titillium" w:cs="Titillium" w:eastAsia="Titillium" w:hAnsi="Titillium"/>
          <w:i w:val="1"/>
          <w:sz w:val="18"/>
          <w:szCs w:val="18"/>
          <w:rtl w:val="0"/>
        </w:rPr>
        <w:t xml:space="preserve"> </w:t>
      </w:r>
      <w:r w:rsidDel="00000000" w:rsidR="00000000" w:rsidRPr="00000000">
        <w:rPr>
          <w:rFonts w:ascii="Titillium" w:cs="Titillium" w:eastAsia="Titillium" w:hAnsi="Titillium"/>
          <w:sz w:val="18"/>
          <w:szCs w:val="18"/>
          <w:rtl w:val="0"/>
        </w:rPr>
        <w:t xml:space="preserve">del termine indicato per la presentazione dell’offerta. </w:t>
      </w:r>
      <w:r w:rsidDel="00000000" w:rsidR="00000000" w:rsidRPr="00000000">
        <w:rPr>
          <w:rtl w:val="0"/>
        </w:rPr>
      </w:r>
    </w:p>
    <w:p w:rsidR="00000000" w:rsidDel="00000000" w:rsidP="00000000" w:rsidRDefault="00000000" w:rsidRPr="00000000" w14:paraId="0000015F">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in cui alla data di scadenza della validità delle offerte le operazioni di gara siano ancora in corso, sarà richiesto agli offerenti di confermare la validità dell’offerta sono alla data indicata e di produrre un apposito documento attestante la validità della garanzia prestata in sede di gara fino alla medesima data. </w:t>
      </w:r>
    </w:p>
    <w:p w:rsidR="00000000" w:rsidDel="00000000" w:rsidP="00000000" w:rsidRDefault="00000000" w:rsidRPr="00000000" w14:paraId="00000160">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mancato riscontro alla richiesta della stazione appaltante entro il termine fissato da quest’ultima o comunque in tempo utile alla celere prosecuzione della procedura è considerato come rinuncia del concorrente alla partecipazione alla gara.</w:t>
      </w:r>
    </w:p>
    <w:p w:rsidR="00000000" w:rsidDel="00000000" w:rsidP="00000000" w:rsidRDefault="00000000" w:rsidRPr="00000000" w14:paraId="00000161">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Fino al giorno fissato per l’apertura, l’operatore economico può effettuare, tramite la Piattaforma, la richiesta di rettifica di un errore materiale contenuto nell’offerta tecnica o nell’offerta economica, di cui si sia avveduto dopo la scadenza del termine per la loro presentazione. A tal fine, richiede di potersi avvalere di tale facoltà.  </w:t>
      </w:r>
    </w:p>
    <w:p w:rsidR="00000000" w:rsidDel="00000000" w:rsidP="00000000" w:rsidRDefault="00000000" w:rsidRPr="00000000" w14:paraId="00000162">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 seguito della richiesta, sono comunicate all’operatore economico le modalità e i tempi con cui procedere all’indicazione degli elementi che consentono l’individuazione dell’errore materiale e la sua correzione. La rettifica è operata nel rispetto della segretezza dell’offerta e non può comportare la presentazione di una nuova offerta, né la sua modifica sostanziale.</w:t>
      </w:r>
    </w:p>
    <w:p w:rsidR="00000000" w:rsidDel="00000000" w:rsidP="00000000" w:rsidRDefault="00000000" w:rsidRPr="00000000" w14:paraId="00000163">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la rettifica è ritenuta non accoglibile perché sostanziale, è valutata la possibilità di dichiarare l’offerta inammissibile.</w:t>
      </w:r>
    </w:p>
    <w:p w:rsidR="00000000" w:rsidDel="00000000" w:rsidP="00000000" w:rsidRDefault="00000000" w:rsidRPr="00000000" w14:paraId="00000164">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b w:val="1"/>
          <w:sz w:val="18"/>
          <w:szCs w:val="18"/>
          <w:rtl w:val="0"/>
        </w:rPr>
        <w:t xml:space="preserve">L’operatore economico è tenuto ad autorizzare l’accesso al fascicolo FVOE tempestivamente subito dopo la ricezione della richiesta telematica da parte della S.A. che avverrà presumibilmente durante la prima sessione di gara</w:t>
      </w:r>
      <w:r w:rsidDel="00000000" w:rsidR="00000000" w:rsidRPr="00000000">
        <w:rPr>
          <w:rFonts w:ascii="Titillium" w:cs="Titillium" w:eastAsia="Titillium" w:hAnsi="Titillium"/>
          <w:sz w:val="18"/>
          <w:szCs w:val="18"/>
          <w:rtl w:val="0"/>
        </w:rPr>
        <w:t xml:space="preserve">.</w:t>
      </w:r>
      <w:r w:rsidDel="00000000" w:rsidR="00000000" w:rsidRPr="00000000">
        <w:rPr>
          <w:rtl w:val="0"/>
        </w:rPr>
      </w:r>
    </w:p>
    <w:p w:rsidR="00000000" w:rsidDel="00000000" w:rsidP="00000000" w:rsidRDefault="00000000" w:rsidRPr="00000000" w14:paraId="00000165">
      <w:pPr>
        <w:keepNext w:val="1"/>
        <w:widowControl w:val="1"/>
        <w:numPr>
          <w:ilvl w:val="0"/>
          <w:numId w:val="22"/>
        </w:numPr>
        <w:spacing w:after="120" w:before="560" w:line="276" w:lineRule="auto"/>
        <w:ind w:left="357" w:hanging="357"/>
        <w:jc w:val="both"/>
        <w:rPr>
          <w:rFonts w:ascii="Titillium" w:cs="Titillium" w:eastAsia="Titillium" w:hAnsi="Titillium"/>
          <w:b w:val="1"/>
          <w:smallCaps w:val="1"/>
          <w:sz w:val="18"/>
          <w:szCs w:val="18"/>
        </w:rPr>
      </w:pPr>
      <w:bookmarkStart w:colFirst="0" w:colLast="0" w:name="_heading=h.2grqrue" w:id="40"/>
      <w:bookmarkEnd w:id="40"/>
      <w:r w:rsidDel="00000000" w:rsidR="00000000" w:rsidRPr="00000000">
        <w:rPr>
          <w:rFonts w:ascii="Titillium" w:cs="Titillium" w:eastAsia="Titillium" w:hAnsi="Titillium"/>
          <w:b w:val="1"/>
          <w:smallCaps w:val="1"/>
          <w:sz w:val="18"/>
          <w:szCs w:val="18"/>
          <w:rtl w:val="0"/>
        </w:rPr>
        <w:t xml:space="preserve">SOCCORSO ISTRUTTORIO</w:t>
      </w:r>
    </w:p>
    <w:p w:rsidR="00000000" w:rsidDel="00000000" w:rsidP="00000000" w:rsidRDefault="00000000" w:rsidRPr="00000000" w14:paraId="00000166">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Con la procedura di soccorso istruttorio di cui all’articolo 101 del Codice, possono essere sanate le carenze della documentazione trasmessa con la domanda di partecipazione ma non quelle della documentazione che compone l’offerta tecnica e l’offerta economica.</w:t>
      </w:r>
    </w:p>
    <w:p w:rsidR="00000000" w:rsidDel="00000000" w:rsidP="00000000" w:rsidRDefault="00000000" w:rsidRPr="00000000" w14:paraId="00000167">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Con la medesima procedura può essere sanata ogni omissione, inesattezza o irregolarità della domanda di partecipazione e di ogni altro documento richiesto per la partecipazione alla procedura di gara, con esclusione della documentazione che compone l’offerta tecnica e l’offerta economica. Non sono sanabili le omissioni, le inesattezze e irregolarità che rendono assolutamente incerta l’identità del concorrente. A titolo esemplificativo, si chiarisce che: </w:t>
      </w:r>
    </w:p>
    <w:p w:rsidR="00000000" w:rsidDel="00000000" w:rsidP="00000000" w:rsidRDefault="00000000" w:rsidRPr="00000000" w14:paraId="00000168">
      <w:pPr>
        <w:widowControl w:val="1"/>
        <w:numPr>
          <w:ilvl w:val="0"/>
          <w:numId w:val="1"/>
        </w:numPr>
        <w:spacing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il mancato possesso dei prescritti requisiti di partecipazione non è sanabile mediante soccorso istruttorio ed è causa di esclusione dalla procedura di gara;</w:t>
      </w:r>
      <w:r w:rsidDel="00000000" w:rsidR="00000000" w:rsidRPr="00000000">
        <w:rPr>
          <w:rtl w:val="0"/>
        </w:rPr>
      </w:r>
    </w:p>
    <w:p w:rsidR="00000000" w:rsidDel="00000000" w:rsidP="00000000" w:rsidRDefault="00000000" w:rsidRPr="00000000" w14:paraId="00000169">
      <w:pPr>
        <w:widowControl w:val="1"/>
        <w:numPr>
          <w:ilvl w:val="0"/>
          <w:numId w:val="1"/>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l’omessa o incompleta nonché irregolare presentazione delle dichiarazioni sul possesso dei requisiti di partecipazione e ogni altra mancanza, incompletezza o irregolarità della domanda, sono sanabili, ad eccezione delle false dichiarazioni;</w:t>
      </w:r>
    </w:p>
    <w:p w:rsidR="00000000" w:rsidDel="00000000" w:rsidP="00000000" w:rsidRDefault="00000000" w:rsidRPr="00000000" w14:paraId="0000016A">
      <w:pPr>
        <w:widowControl w:val="1"/>
        <w:numPr>
          <w:ilvl w:val="0"/>
          <w:numId w:val="1"/>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mancata produzione del contratto di avvalimento, della garanzia provvisoria, del mandato collettivo speciale o dell’impegno a conferire mandato collettivo può essere oggetto di soccorso istruttorio solo se i citati documenti sono preesistenti e comprovabili con data certa anteriore al termine di presentazione dell’offerta;</w:t>
      </w:r>
      <w:r w:rsidDel="00000000" w:rsidR="00000000" w:rsidRPr="00000000">
        <w:rPr>
          <w:rtl w:val="0"/>
        </w:rPr>
      </w:r>
    </w:p>
    <w:p w:rsidR="00000000" w:rsidDel="00000000" w:rsidP="00000000" w:rsidRDefault="00000000" w:rsidRPr="00000000" w14:paraId="0000016B">
      <w:pPr>
        <w:widowControl w:val="1"/>
        <w:numPr>
          <w:ilvl w:val="0"/>
          <w:numId w:val="1"/>
        </w:numPr>
        <w:spacing w:after="120" w:before="60" w:line="276" w:lineRule="auto"/>
        <w:ind w:left="720" w:hanging="360"/>
        <w:jc w:val="both"/>
        <w:rPr>
          <w:rFonts w:ascii="Titillium" w:cs="Titillium" w:eastAsia="Titillium" w:hAnsi="Titillium"/>
          <w:b w:val="1"/>
          <w:i w:val="1"/>
          <w:sz w:val="18"/>
          <w:szCs w:val="18"/>
        </w:rPr>
      </w:pPr>
      <w:r w:rsidDel="00000000" w:rsidR="00000000" w:rsidRPr="00000000">
        <w:rPr>
          <w:rFonts w:ascii="Titillium" w:cs="Titillium" w:eastAsia="Titillium" w:hAnsi="Titillium"/>
          <w:sz w:val="18"/>
          <w:szCs w:val="18"/>
          <w:rtl w:val="0"/>
        </w:rPr>
        <w:t xml:space="preserve">il difetto di sottoscrizione della domanda di partecipazione, delle dichiarazioni richieste e dell’offerta è sanabile;</w:t>
      </w:r>
      <w:r w:rsidDel="00000000" w:rsidR="00000000" w:rsidRPr="00000000">
        <w:rPr>
          <w:rtl w:val="0"/>
        </w:rPr>
      </w:r>
    </w:p>
    <w:p w:rsidR="00000000" w:rsidDel="00000000" w:rsidP="00000000" w:rsidRDefault="00000000" w:rsidRPr="00000000" w14:paraId="0000016C">
      <w:pPr>
        <w:widowControl w:val="1"/>
        <w:numPr>
          <w:ilvl w:val="0"/>
          <w:numId w:val="1"/>
        </w:numPr>
        <w:spacing w:after="120" w:before="60" w:line="276" w:lineRule="auto"/>
        <w:ind w:left="720" w:hanging="360"/>
        <w:jc w:val="both"/>
        <w:rPr>
          <w:rFonts w:ascii="Titillium" w:cs="Titillium" w:eastAsia="Titillium" w:hAnsi="Titillium"/>
          <w:b w:val="1"/>
          <w:i w:val="1"/>
          <w:sz w:val="18"/>
          <w:szCs w:val="18"/>
        </w:rPr>
      </w:pPr>
      <w:r w:rsidDel="00000000" w:rsidR="00000000" w:rsidRPr="00000000">
        <w:rPr>
          <w:rFonts w:ascii="Titillium" w:cs="Titillium" w:eastAsia="Titillium" w:hAnsi="Titillium"/>
          <w:sz w:val="18"/>
          <w:szCs w:val="18"/>
          <w:rtl w:val="0"/>
        </w:rPr>
        <w:t xml:space="preserve">non è sanabile mediante soccorso istruttorio l’omessa indicazione, delle modalità con le quali l’operatore intende assicurare, in caso di aggiudicazione del contratto, il rispetto delle condizioni di partecipazione e di esecuzione di cui all’articolo 9 del presente bando. </w:t>
      </w:r>
      <w:r w:rsidDel="00000000" w:rsidR="00000000" w:rsidRPr="00000000">
        <w:rPr>
          <w:rtl w:val="0"/>
        </w:rPr>
      </w:r>
    </w:p>
    <w:p w:rsidR="00000000" w:rsidDel="00000000" w:rsidP="00000000" w:rsidRDefault="00000000" w:rsidRPr="00000000" w14:paraId="0000016D">
      <w:pPr>
        <w:widowControl w:val="1"/>
        <w:numPr>
          <w:ilvl w:val="0"/>
          <w:numId w:val="1"/>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sono sanabili l’omessa dichiarazione sull’aver assolto agli obblighi di cui alla legge 68/1999 e, per i concorrenti che occupano oltre cinquanta dipendenti, l’omessa presentazione di copia dell’ultimo rapporto periodico sulla situazione del personale maschile e femminile, redatto ai sensi dell’articolo 46 decreto legislativo n. 198 del 2006, e la trasmissione dello stesso alle rappresentanze sindacali e ai consiglieri regionali di parità, purché redatto e trasmesso in data anteriore al termine per la presentazione delle offerte; </w:t>
      </w:r>
    </w:p>
    <w:p w:rsidR="00000000" w:rsidDel="00000000" w:rsidP="00000000" w:rsidRDefault="00000000" w:rsidRPr="00000000" w14:paraId="0000016E">
      <w:pPr>
        <w:widowControl w:val="1"/>
        <w:numPr>
          <w:ilvl w:val="0"/>
          <w:numId w:val="1"/>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non è sanabile mediante soccorso istruttorio l’omesso impegno ad assicurare, in caso di aggiudicazione del contratto, l’assunzione di una quota di occupazione giovanile e femminile di cui all’articolo 9 del presente bando.</w:t>
      </w:r>
    </w:p>
    <w:p w:rsidR="00000000" w:rsidDel="00000000" w:rsidP="00000000" w:rsidRDefault="00000000" w:rsidRPr="00000000" w14:paraId="0000016F">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Ai fini del soccorso istruttorio è assegnato al concorrente un termine di 5 giorni affinché siano rese, integrate o regolarizzate le dichiarazioni necessarie, indicando il contenuto e i soggetti che le devono rendere nonché la sezione della Piattaforma dove deve essere inserita la documentazione richiesta. </w:t>
      </w:r>
      <w:r w:rsidDel="00000000" w:rsidR="00000000" w:rsidRPr="00000000">
        <w:rPr>
          <w:rtl w:val="0"/>
        </w:rPr>
      </w:r>
    </w:p>
    <w:p w:rsidR="00000000" w:rsidDel="00000000" w:rsidP="00000000" w:rsidRDefault="00000000" w:rsidRPr="00000000" w14:paraId="00000170">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In caso di inutile decorso del termine, la stazione appaltante procede all’esclusione del concorrente dalla procedura.</w:t>
      </w:r>
      <w:r w:rsidDel="00000000" w:rsidR="00000000" w:rsidRPr="00000000">
        <w:rPr>
          <w:rtl w:val="0"/>
        </w:rPr>
      </w:r>
    </w:p>
    <w:p w:rsidR="00000000" w:rsidDel="00000000" w:rsidP="00000000" w:rsidRDefault="00000000" w:rsidRPr="00000000" w14:paraId="00000171">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Ove il concorrente produca dichiarazioni o documenti non perfettamente coerenti con la richiesta, la stazione appaltante può chiedere ulteriori precisazioni o chiarimenti, limitati alla documentazione presentata in fase di soccorso istruttorio, fissando un termine a pena di esclusione.</w:t>
      </w:r>
    </w:p>
    <w:p w:rsidR="00000000" w:rsidDel="00000000" w:rsidP="00000000" w:rsidRDefault="00000000" w:rsidRPr="00000000" w14:paraId="00000172">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stazione appaltante può sempre chiedere chiarimenti sui contenuti dell’offerta tecnica e dell’offerta economica e su ogni loro allegato. L’operatore economico è tenuto a fornire risposta nel termine di 5 giorni. I chiarimenti resi dall’operatore economico non possono modificare il contenuto dell’offerta.</w:t>
      </w:r>
    </w:p>
    <w:p w:rsidR="00000000" w:rsidDel="00000000" w:rsidP="00000000" w:rsidRDefault="00000000" w:rsidRPr="00000000" w14:paraId="00000173">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vx1227" w:id="41"/>
      <w:bookmarkEnd w:id="41"/>
      <w:r w:rsidDel="00000000" w:rsidR="00000000" w:rsidRPr="00000000">
        <w:rPr>
          <w:rFonts w:ascii="Titillium" w:cs="Titillium" w:eastAsia="Titillium" w:hAnsi="Titillium"/>
          <w:b w:val="1"/>
          <w:smallCaps w:val="1"/>
          <w:sz w:val="18"/>
          <w:szCs w:val="18"/>
          <w:rtl w:val="0"/>
        </w:rPr>
        <w:t xml:space="preserve">DOMANDA DI PARTECIPAZIONE E DOCUMENTAZIONE AMMINISTRATIVA</w:t>
      </w:r>
      <w:r w:rsidDel="00000000" w:rsidR="00000000" w:rsidRPr="00000000">
        <w:rPr>
          <w:rtl w:val="0"/>
        </w:rPr>
      </w:r>
    </w:p>
    <w:p w:rsidR="00000000" w:rsidDel="00000000" w:rsidP="00000000" w:rsidRDefault="00000000" w:rsidRPr="00000000" w14:paraId="00000174">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L’operatore economico utilizza la Piattaforma Acquisti telematici di Sidra </w:t>
      </w:r>
      <w:hyperlink r:id="rId18">
        <w:r w:rsidDel="00000000" w:rsidR="00000000" w:rsidRPr="00000000">
          <w:rPr>
            <w:rFonts w:ascii="Titillium" w:cs="Titillium" w:eastAsia="Titillium" w:hAnsi="Titillium"/>
            <w:color w:val="000080"/>
            <w:sz w:val="18"/>
            <w:szCs w:val="18"/>
            <w:u w:val="single"/>
            <w:rtl w:val="0"/>
          </w:rPr>
          <w:t xml:space="preserve">https://sidraspa.acquistitelematici.it</w:t>
        </w:r>
      </w:hyperlink>
      <w:r w:rsidDel="00000000" w:rsidR="00000000" w:rsidRPr="00000000">
        <w:rPr>
          <w:rFonts w:ascii="Titillium" w:cs="Titillium" w:eastAsia="Titillium" w:hAnsi="Titillium"/>
          <w:sz w:val="18"/>
          <w:szCs w:val="18"/>
          <w:rtl w:val="0"/>
        </w:rPr>
        <w:t xml:space="preserve"> per compilare o allegare la seguente documentazione:</w:t>
      </w:r>
      <w:r w:rsidDel="00000000" w:rsidR="00000000" w:rsidRPr="00000000">
        <w:rPr>
          <w:rtl w:val="0"/>
        </w:rPr>
      </w:r>
    </w:p>
    <w:p w:rsidR="00000000" w:rsidDel="00000000" w:rsidP="00000000" w:rsidRDefault="00000000" w:rsidRPr="00000000" w14:paraId="00000175">
      <w:pPr>
        <w:widowControl w:val="1"/>
        <w:numPr>
          <w:ilvl w:val="0"/>
          <w:numId w:val="14"/>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domanda di partecipazione;</w:t>
      </w:r>
      <w:r w:rsidDel="00000000" w:rsidR="00000000" w:rsidRPr="00000000">
        <w:rPr>
          <w:rtl w:val="0"/>
        </w:rPr>
      </w:r>
    </w:p>
    <w:p w:rsidR="00000000" w:rsidDel="00000000" w:rsidP="00000000" w:rsidRDefault="00000000" w:rsidRPr="00000000" w14:paraId="00000176">
      <w:pPr>
        <w:widowControl w:val="1"/>
        <w:numPr>
          <w:ilvl w:val="0"/>
          <w:numId w:val="14"/>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DGUE;</w:t>
      </w:r>
      <w:r w:rsidDel="00000000" w:rsidR="00000000" w:rsidRPr="00000000">
        <w:rPr>
          <w:rtl w:val="0"/>
        </w:rPr>
      </w:r>
    </w:p>
    <w:p w:rsidR="00000000" w:rsidDel="00000000" w:rsidP="00000000" w:rsidRDefault="00000000" w:rsidRPr="00000000" w14:paraId="00000177">
      <w:pPr>
        <w:widowControl w:val="1"/>
        <w:numPr>
          <w:ilvl w:val="0"/>
          <w:numId w:val="14"/>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eventuale procura;</w:t>
      </w:r>
      <w:r w:rsidDel="00000000" w:rsidR="00000000" w:rsidRPr="00000000">
        <w:rPr>
          <w:rtl w:val="0"/>
        </w:rPr>
      </w:r>
    </w:p>
    <w:p w:rsidR="00000000" w:rsidDel="00000000" w:rsidP="00000000" w:rsidRDefault="00000000" w:rsidRPr="00000000" w14:paraId="00000178">
      <w:pPr>
        <w:widowControl w:val="1"/>
        <w:numPr>
          <w:ilvl w:val="0"/>
          <w:numId w:val="14"/>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garanzia provvisoria;</w:t>
      </w:r>
      <w:r w:rsidDel="00000000" w:rsidR="00000000" w:rsidRPr="00000000">
        <w:rPr>
          <w:rtl w:val="0"/>
        </w:rPr>
      </w:r>
    </w:p>
    <w:p w:rsidR="00000000" w:rsidDel="00000000" w:rsidP="00000000" w:rsidRDefault="00000000" w:rsidRPr="00000000" w14:paraId="00000179">
      <w:pPr>
        <w:widowControl w:val="1"/>
        <w:numPr>
          <w:ilvl w:val="0"/>
          <w:numId w:val="14"/>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documentazione in caso di avvalimento;</w:t>
      </w:r>
    </w:p>
    <w:p w:rsidR="00000000" w:rsidDel="00000000" w:rsidP="00000000" w:rsidRDefault="00000000" w:rsidRPr="00000000" w14:paraId="0000017A">
      <w:pPr>
        <w:widowControl w:val="1"/>
        <w:numPr>
          <w:ilvl w:val="0"/>
          <w:numId w:val="14"/>
        </w:numPr>
        <w:pBdr>
          <w:top w:space="0" w:sz="0" w:val="nil"/>
          <w:left w:space="0" w:sz="0" w:val="nil"/>
          <w:bottom w:space="0" w:sz="0" w:val="nil"/>
          <w:right w:space="0" w:sz="0" w:val="nil"/>
          <w:between w:space="0" w:sz="0" w:val="nil"/>
        </w:pBdr>
        <w:spacing w:line="276" w:lineRule="auto"/>
        <w:ind w:left="72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patto per la legalità;</w:t>
      </w:r>
    </w:p>
    <w:p w:rsidR="00000000" w:rsidDel="00000000" w:rsidP="00000000" w:rsidRDefault="00000000" w:rsidRPr="00000000" w14:paraId="0000017B">
      <w:pPr>
        <w:widowControl w:val="1"/>
        <w:numPr>
          <w:ilvl w:val="0"/>
          <w:numId w:val="14"/>
        </w:numPr>
        <w:pBdr>
          <w:top w:space="0" w:sz="0" w:val="nil"/>
          <w:left w:space="0" w:sz="0" w:val="nil"/>
          <w:bottom w:space="0" w:sz="0" w:val="nil"/>
          <w:right w:space="0" w:sz="0" w:val="nil"/>
          <w:between w:space="0" w:sz="0" w:val="nil"/>
        </w:pBdr>
        <w:spacing w:line="276" w:lineRule="auto"/>
        <w:ind w:left="72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comprova pagamento bollo;</w:t>
      </w:r>
    </w:p>
    <w:p w:rsidR="00000000" w:rsidDel="00000000" w:rsidP="00000000" w:rsidRDefault="00000000" w:rsidRPr="00000000" w14:paraId="0000017C">
      <w:pPr>
        <w:widowControl w:val="1"/>
        <w:numPr>
          <w:ilvl w:val="0"/>
          <w:numId w:val="14"/>
        </w:numPr>
        <w:spacing w:line="276" w:lineRule="auto"/>
        <w:ind w:left="720" w:hanging="360"/>
        <w:jc w:val="both"/>
        <w:rPr>
          <w:rFonts w:ascii="Titillium" w:cs="Titillium" w:eastAsia="Titillium" w:hAnsi="Titillium"/>
          <w:sz w:val="18"/>
          <w:szCs w:val="18"/>
          <w:highlight w:val="white"/>
        </w:rPr>
      </w:pPr>
      <w:r w:rsidDel="00000000" w:rsidR="00000000" w:rsidRPr="00000000">
        <w:rPr>
          <w:rFonts w:ascii="Titillium" w:cs="Titillium" w:eastAsia="Titillium" w:hAnsi="Titillium"/>
          <w:sz w:val="18"/>
          <w:szCs w:val="18"/>
          <w:rtl w:val="0"/>
        </w:rPr>
        <w:t xml:space="preserve">pagamento ANAC;</w:t>
      </w:r>
      <w:r w:rsidDel="00000000" w:rsidR="00000000" w:rsidRPr="00000000">
        <w:rPr>
          <w:rtl w:val="0"/>
        </w:rPr>
      </w:r>
    </w:p>
    <w:p w:rsidR="00000000" w:rsidDel="00000000" w:rsidP="00000000" w:rsidRDefault="00000000" w:rsidRPr="00000000" w14:paraId="0000017D">
      <w:pPr>
        <w:widowControl w:val="1"/>
        <w:numPr>
          <w:ilvl w:val="0"/>
          <w:numId w:val="14"/>
        </w:numPr>
        <w:spacing w:line="276" w:lineRule="auto"/>
        <w:ind w:left="720" w:hanging="360"/>
        <w:jc w:val="both"/>
        <w:rPr>
          <w:rFonts w:ascii="Titillium" w:cs="Titillium" w:eastAsia="Titillium" w:hAnsi="Titillium"/>
          <w:sz w:val="18"/>
          <w:szCs w:val="18"/>
          <w:highlight w:val="white"/>
        </w:rPr>
      </w:pPr>
      <w:r w:rsidDel="00000000" w:rsidR="00000000" w:rsidRPr="00000000">
        <w:rPr>
          <w:rFonts w:ascii="Titillium" w:cs="Titillium" w:eastAsia="Titillium" w:hAnsi="Titillium"/>
          <w:sz w:val="18"/>
          <w:szCs w:val="18"/>
          <w:rtl w:val="0"/>
        </w:rPr>
        <w:t xml:space="preserve">per gli operatori economici che occupano oltre cinquanta dipendenti: copia dell'ultimo rapporto periodico sulla situazione del personale maschile e femminile redatto ai sensi dell’articolo 46 del decreto legislativo n. 198/2006,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r w:rsidDel="00000000" w:rsidR="00000000" w:rsidRPr="00000000">
        <w:rPr>
          <w:rtl w:val="0"/>
        </w:rPr>
      </w:r>
    </w:p>
    <w:p w:rsidR="00000000" w:rsidDel="00000000" w:rsidP="00000000" w:rsidRDefault="00000000" w:rsidRPr="00000000" w14:paraId="0000017E">
      <w:pPr>
        <w:widowControl w:val="1"/>
        <w:numPr>
          <w:ilvl w:val="0"/>
          <w:numId w:val="14"/>
        </w:numPr>
        <w:spacing w:line="276" w:lineRule="auto"/>
        <w:ind w:left="720" w:hanging="360"/>
        <w:jc w:val="both"/>
        <w:rPr>
          <w:rFonts w:ascii="Titillium" w:cs="Titillium" w:eastAsia="Titillium" w:hAnsi="Titillium"/>
          <w:sz w:val="18"/>
          <w:szCs w:val="18"/>
          <w:highlight w:val="white"/>
        </w:rPr>
      </w:pPr>
      <w:r w:rsidDel="00000000" w:rsidR="00000000" w:rsidRPr="00000000">
        <w:rPr>
          <w:rFonts w:ascii="Titillium" w:cs="Titillium" w:eastAsia="Titillium" w:hAnsi="Titillium"/>
          <w:sz w:val="18"/>
          <w:szCs w:val="18"/>
          <w:highlight w:val="white"/>
          <w:rtl w:val="0"/>
        </w:rPr>
        <w:t xml:space="preserve">autodichiarazione ex DL 77-2021;</w:t>
      </w:r>
    </w:p>
    <w:p w:rsidR="00000000" w:rsidDel="00000000" w:rsidP="00000000" w:rsidRDefault="00000000" w:rsidRPr="00000000" w14:paraId="0000017F">
      <w:pPr>
        <w:widowControl w:val="1"/>
        <w:numPr>
          <w:ilvl w:val="0"/>
          <w:numId w:val="14"/>
        </w:numPr>
        <w:spacing w:line="276" w:lineRule="auto"/>
        <w:ind w:left="720" w:hanging="360"/>
        <w:jc w:val="both"/>
        <w:rPr>
          <w:rFonts w:ascii="Titillium" w:cs="Titillium" w:eastAsia="Titillium" w:hAnsi="Titillium"/>
          <w:sz w:val="18"/>
          <w:szCs w:val="18"/>
          <w:highlight w:val="white"/>
        </w:rPr>
      </w:pPr>
      <w:r w:rsidDel="00000000" w:rsidR="00000000" w:rsidRPr="00000000">
        <w:rPr>
          <w:rFonts w:ascii="Titillium" w:cs="Titillium" w:eastAsia="Titillium" w:hAnsi="Titillium"/>
          <w:sz w:val="18"/>
          <w:szCs w:val="18"/>
          <w:highlight w:val="white"/>
          <w:rtl w:val="0"/>
        </w:rPr>
        <w:t xml:space="preserve">consenso interessato privacy.</w:t>
      </w:r>
    </w:p>
    <w:p w:rsidR="00000000" w:rsidDel="00000000" w:rsidP="00000000" w:rsidRDefault="00000000" w:rsidRPr="00000000" w14:paraId="00000180">
      <w:pPr>
        <w:widowControl w:val="1"/>
        <w:spacing w:line="276" w:lineRule="auto"/>
        <w:ind w:left="720" w:firstLine="0"/>
        <w:jc w:val="both"/>
        <w:rPr>
          <w:rFonts w:ascii="Titillium" w:cs="Titillium" w:eastAsia="Titillium" w:hAnsi="Titillium"/>
          <w:sz w:val="18"/>
          <w:szCs w:val="18"/>
          <w:highlight w:val="white"/>
        </w:rPr>
      </w:pPr>
      <w:r w:rsidDel="00000000" w:rsidR="00000000" w:rsidRPr="00000000">
        <w:rPr>
          <w:rtl w:val="0"/>
        </w:rPr>
      </w:r>
    </w:p>
    <w:p w:rsidR="00000000" w:rsidDel="00000000" w:rsidP="00000000" w:rsidRDefault="00000000" w:rsidRPr="00000000" w14:paraId="00000181">
      <w:pPr>
        <w:spacing w:before="23" w:lineRule="auto"/>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182">
      <w:pPr>
        <w:widowControl w:val="1"/>
        <w:spacing w:line="276" w:lineRule="auto"/>
        <w:ind w:left="851" w:firstLine="0"/>
        <w:jc w:val="both"/>
        <w:rPr>
          <w:rFonts w:ascii="Titillium" w:cs="Titillium" w:eastAsia="Titillium" w:hAnsi="Titillium"/>
          <w:sz w:val="18"/>
          <w:szCs w:val="18"/>
          <w:highlight w:val="white"/>
        </w:rPr>
      </w:pPr>
      <w:r w:rsidDel="00000000" w:rsidR="00000000" w:rsidRPr="00000000">
        <w:rPr>
          <w:rtl w:val="0"/>
        </w:rPr>
      </w:r>
    </w:p>
    <w:p w:rsidR="00000000" w:rsidDel="00000000" w:rsidP="00000000" w:rsidRDefault="00000000" w:rsidRPr="00000000" w14:paraId="00000183">
      <w:pPr>
        <w:pStyle w:val="Heading4"/>
        <w:rPr/>
      </w:pPr>
      <w:bookmarkStart w:colFirst="0" w:colLast="0" w:name="_heading=h.3fwokq0" w:id="42"/>
      <w:bookmarkEnd w:id="42"/>
      <w:r w:rsidDel="00000000" w:rsidR="00000000" w:rsidRPr="00000000">
        <w:rPr>
          <w:rtl w:val="0"/>
        </w:rPr>
        <w:t xml:space="preserve">DOMANDA DI PARTECIPAZIONE ED EVENTUALE PROCURA</w:t>
      </w:r>
    </w:p>
    <w:p w:rsidR="00000000" w:rsidDel="00000000" w:rsidP="00000000" w:rsidRDefault="00000000" w:rsidRPr="00000000" w14:paraId="0000018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domanda di partecipazione è redatta secondo il modulo “Domanda di partecipazione”.</w:t>
      </w:r>
    </w:p>
    <w:p w:rsidR="00000000" w:rsidDel="00000000" w:rsidP="00000000" w:rsidRDefault="00000000" w:rsidRPr="00000000" w14:paraId="0000018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dichiarazioni in ordine all’insussistenza delle cause automatiche di esclusione di cui all’articolo 94 commi 1 e 2 del Codice sono rese dall’operatore economico in relazione a tutti i soggetti indicati al comma 3. </w:t>
      </w:r>
    </w:p>
    <w:p w:rsidR="00000000" w:rsidDel="00000000" w:rsidP="00000000" w:rsidRDefault="00000000" w:rsidRPr="00000000" w14:paraId="00000186">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dichiarazioni in ordine all’insussistenza delle cause non automatiche di esclusione di cui all’articolo 98, comma 4, lettere g) ed h) del Codice sono rese dall’operatore economico in relazione ai soggetti di cui al punto precedente.</w:t>
      </w:r>
    </w:p>
    <w:p w:rsidR="00000000" w:rsidDel="00000000" w:rsidP="00000000" w:rsidRDefault="00000000" w:rsidRPr="00000000" w14:paraId="00000187">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dichiarazioni in ordine all’insussistenza delle altre cause di esclusione sono rese in relazione all’operatore economico.</w:t>
      </w:r>
    </w:p>
    <w:p w:rsidR="00000000" w:rsidDel="00000000" w:rsidP="00000000" w:rsidRDefault="00000000" w:rsidRPr="00000000" w14:paraId="00000188">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Con riferimento alle cause di esclusione di cui all’articolo 95 del Codice, il concorrente dichiara:</w:t>
      </w:r>
    </w:p>
    <w:p w:rsidR="00000000" w:rsidDel="00000000" w:rsidP="00000000" w:rsidRDefault="00000000" w:rsidRPr="00000000" w14:paraId="00000189">
      <w:pPr>
        <w:widowControl w:val="1"/>
        <w:numPr>
          <w:ilvl w:val="0"/>
          <w:numId w:val="1"/>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gravi infrazioni di cui all’articolo 95, comma 1, lettera a) del Codice commesse nei tre anni antecedenti la data di pubblicazione del bando di gara; </w:t>
      </w:r>
    </w:p>
    <w:p w:rsidR="00000000" w:rsidDel="00000000" w:rsidP="00000000" w:rsidRDefault="00000000" w:rsidRPr="00000000" w14:paraId="0000018A">
      <w:pPr>
        <w:widowControl w:val="1"/>
        <w:numPr>
          <w:ilvl w:val="0"/>
          <w:numId w:val="1"/>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gli atti e i provvedimenti indicati all’articolo 98 comma 6 del codice emessi nei tre anni antecedenti la data di pubblicazione del bando di gara</w:t>
      </w:r>
    </w:p>
    <w:p w:rsidR="00000000" w:rsidDel="00000000" w:rsidP="00000000" w:rsidRDefault="00000000" w:rsidRPr="00000000" w14:paraId="0000018B">
      <w:pPr>
        <w:widowControl w:val="1"/>
        <w:numPr>
          <w:ilvl w:val="0"/>
          <w:numId w:val="1"/>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tutti gli altri comportamenti di cui all’articolo 98 del Codice, commessi nei tre anni antecedenti la data di pubblicazione del bando di gara.</w:t>
      </w:r>
    </w:p>
    <w:p w:rsidR="00000000" w:rsidDel="00000000" w:rsidP="00000000" w:rsidRDefault="00000000" w:rsidRPr="00000000" w14:paraId="0000018C">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dichiarazione di cui sopra deve essere resa anche nel caso di impugnazione in giudizio dei relativi provvedimenti.</w:t>
      </w:r>
    </w:p>
    <w:p w:rsidR="00000000" w:rsidDel="00000000" w:rsidP="00000000" w:rsidRDefault="00000000" w:rsidRPr="00000000" w14:paraId="0000018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L’operatore economico dichiara la sussistenza delle cause di esclusione che si sono verificate prima della presentazione dell’offerta e indica le misure di self-cleaning adottate, oppure dimostra l’impossibilità di adottare tali misure prima della presentazione dell’offerta.</w:t>
      </w:r>
    </w:p>
    <w:p w:rsidR="00000000" w:rsidDel="00000000" w:rsidP="00000000" w:rsidRDefault="00000000" w:rsidRPr="00000000" w14:paraId="0000018E">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L’operatore economico adotta le misure di self-cleaning che è stato impossibilitato ad adottare prima della presentazione dell’offerta e quelle relative a cause di esclusione che si sono verificate dopo tale momento.</w:t>
      </w:r>
    </w:p>
    <w:p w:rsidR="00000000" w:rsidDel="00000000" w:rsidP="00000000" w:rsidRDefault="00000000" w:rsidRPr="00000000" w14:paraId="0000018F">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l’operatore economico omette di comunicare alla stazione appaltante la sussistenza dei fatti e dei provvedimenti che possono costituire una causa di esclusione ai sensi degli articoli 94 e 95 del Codice e detti fatti o provvedimenti non risultino nel FVOE, il triennio inizia a decorrere dalla data in cui la stazione appaltante ha acquisito gli stessi, anziché dalla commissione del fatto o dall’adozione del provvedimento.</w:t>
      </w:r>
    </w:p>
    <w:p w:rsidR="00000000" w:rsidDel="00000000" w:rsidP="00000000" w:rsidRDefault="00000000" w:rsidRPr="00000000" w14:paraId="00000190">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91">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In caso di raggruppamento temporaneo, consorzio ordinario, aggregazione di retisti, GEIE, il concorrente fornisce i dati identificativi (ragione sociale, codice fiscale, sede) e il ruolo di ciascun partecipante.</w:t>
      </w:r>
      <w:r w:rsidDel="00000000" w:rsidR="00000000" w:rsidRPr="00000000">
        <w:rPr>
          <w:rtl w:val="0"/>
        </w:rPr>
      </w:r>
    </w:p>
    <w:p w:rsidR="00000000" w:rsidDel="00000000" w:rsidP="00000000" w:rsidRDefault="00000000" w:rsidRPr="00000000" w14:paraId="00000192">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In caso di consorzio di cooperative, consorzio imprese artigiane o di consorzio stabile di cui all’articolo 65, comma 2, lettera b), c), d) del Codice, il consorzio indica il consorziato per il quale concorre alla gara.</w:t>
      </w:r>
      <w:r w:rsidDel="00000000" w:rsidR="00000000" w:rsidRPr="00000000">
        <w:rPr>
          <w:rtl w:val="0"/>
        </w:rPr>
      </w:r>
    </w:p>
    <w:p w:rsidR="00000000" w:rsidDel="00000000" w:rsidP="00000000" w:rsidRDefault="00000000" w:rsidRPr="00000000" w14:paraId="00000193">
      <w:pPr>
        <w:widowControl w:val="1"/>
        <w:spacing w:after="60" w:before="60" w:line="276" w:lineRule="auto"/>
        <w:jc w:val="both"/>
        <w:rPr>
          <w:rFonts w:ascii="Garamond" w:cs="Garamond" w:eastAsia="Garamond" w:hAnsi="Garamond"/>
        </w:rPr>
      </w:pPr>
      <w:bookmarkStart w:colFirst="0" w:colLast="0" w:name="_heading=h.1v1yuxt" w:id="43"/>
      <w:bookmarkEnd w:id="43"/>
      <w:r w:rsidDel="00000000" w:rsidR="00000000" w:rsidRPr="00000000">
        <w:rPr>
          <w:rFonts w:ascii="Titillium" w:cs="Titillium" w:eastAsia="Titillium" w:hAnsi="Titillium"/>
          <w:sz w:val="18"/>
          <w:szCs w:val="18"/>
          <w:rtl w:val="0"/>
        </w:rPr>
        <w:t xml:space="preserve">Nella domanda di partecipazione il concorrente dichiara:</w:t>
      </w:r>
      <w:r w:rsidDel="00000000" w:rsidR="00000000" w:rsidRPr="00000000">
        <w:rPr>
          <w:rtl w:val="0"/>
        </w:rPr>
      </w:r>
    </w:p>
    <w:p w:rsidR="00000000" w:rsidDel="00000000" w:rsidP="00000000" w:rsidRDefault="00000000" w:rsidRPr="00000000" w14:paraId="00000194">
      <w:pPr>
        <w:widowControl w:val="1"/>
        <w:numPr>
          <w:ilvl w:val="0"/>
          <w:numId w:val="15"/>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 dati identificativi (nome, cognome, data e luogo di nascita, codice fiscale, comune di residenza etc.) dei soggetti di cui all’articolo 94, comma 3, del Codice, ivi incluso l’amministratore di fatto, ove presente, ovvero indica la banca dati ufficiale o il pubblico registro da cui i medesimi possono essere ricavati in modo aggiornato alla data di presentazione dell’offerta;</w:t>
      </w:r>
      <w:r w:rsidDel="00000000" w:rsidR="00000000" w:rsidRPr="00000000">
        <w:rPr>
          <w:rtl w:val="0"/>
        </w:rPr>
      </w:r>
    </w:p>
    <w:p w:rsidR="00000000" w:rsidDel="00000000" w:rsidP="00000000" w:rsidRDefault="00000000" w:rsidRPr="00000000" w14:paraId="00000195">
      <w:pPr>
        <w:widowControl w:val="1"/>
        <w:numPr>
          <w:ilvl w:val="0"/>
          <w:numId w:val="15"/>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di non partecipare alla medesima gara contemporaneamente in forme diverse (individuale e associata; in più forme associate; in forma singola e quale consorziato esecutore di un consorzio; in forma singola e come ausiliaria di altro concorrente che sia ricorso all’avvalimento per migliorare la propria offerta). Se l’operatore economico dichiara di partecipare in più di una forma, allega la documentazione che dimostra che la circostanza non ha influito sulla gara, né è idonea a incidere sulla capacità di rispettare gli obblighi contrattuali</w:t>
      </w:r>
      <w:r w:rsidDel="00000000" w:rsidR="00000000" w:rsidRPr="00000000">
        <w:rPr>
          <w:rtl w:val="0"/>
        </w:rPr>
      </w:r>
    </w:p>
    <w:p w:rsidR="00000000" w:rsidDel="00000000" w:rsidP="00000000" w:rsidRDefault="00000000" w:rsidRPr="00000000" w14:paraId="00000196">
      <w:pPr>
        <w:widowControl w:val="1"/>
        <w:numPr>
          <w:ilvl w:val="0"/>
          <w:numId w:val="15"/>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di accettare, senza condizione o riserva alcuna, tutte le norme e disposizioni contenute nella documentazione gara;</w:t>
      </w:r>
      <w:r w:rsidDel="00000000" w:rsidR="00000000" w:rsidRPr="00000000">
        <w:rPr>
          <w:rtl w:val="0"/>
        </w:rPr>
      </w:r>
    </w:p>
    <w:p w:rsidR="00000000" w:rsidDel="00000000" w:rsidP="00000000" w:rsidRDefault="00000000" w:rsidRPr="00000000" w14:paraId="00000197">
      <w:pPr>
        <w:widowControl w:val="1"/>
        <w:numPr>
          <w:ilvl w:val="0"/>
          <w:numId w:val="15"/>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 applicare il CCNL indicato dalla stazione appaltante o altro CCNL equivalente, con l’indicazione del relativo codice alfanumerico unico di cui all’articolo 16 quater del decreto legge 76/20;</w:t>
      </w:r>
    </w:p>
    <w:p w:rsidR="00000000" w:rsidDel="00000000" w:rsidP="00000000" w:rsidRDefault="00000000" w:rsidRPr="00000000" w14:paraId="00000198">
      <w:pPr>
        <w:widowControl w:val="1"/>
        <w:numPr>
          <w:ilvl w:val="0"/>
          <w:numId w:val="15"/>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 garantire, secondo quanto indicato all’articolo 9, in caso di aggiudicazione del contratto, di assicurare all’occupazione giovanile una quota di 30% e a quella femminile una quota di 30 % delle assunzioni necessarie per l'esecuzione del contratto o per la realizzazione di attività ad esso connesse o strumentali;</w:t>
      </w:r>
    </w:p>
    <w:p w:rsidR="00000000" w:rsidDel="00000000" w:rsidP="00000000" w:rsidRDefault="00000000" w:rsidRPr="00000000" w14:paraId="00000199">
      <w:pPr>
        <w:widowControl w:val="1"/>
        <w:numPr>
          <w:ilvl w:val="0"/>
          <w:numId w:val="15"/>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numero di dipendenti impiegati alla data di presentazione della domanda;</w:t>
      </w:r>
    </w:p>
    <w:p w:rsidR="00000000" w:rsidDel="00000000" w:rsidP="00000000" w:rsidRDefault="00000000" w:rsidRPr="00000000" w14:paraId="0000019A">
      <w:pPr>
        <w:widowControl w:val="1"/>
        <w:numPr>
          <w:ilvl w:val="0"/>
          <w:numId w:val="15"/>
        </w:numPr>
        <w:pBdr>
          <w:top w:space="0" w:sz="0" w:val="nil"/>
          <w:left w:space="0" w:sz="0" w:val="nil"/>
          <w:bottom w:space="0" w:sz="0" w:val="nil"/>
          <w:right w:space="0" w:sz="0" w:val="nil"/>
          <w:between w:space="0" w:sz="0" w:val="nil"/>
        </w:pBdr>
        <w:spacing w:line="276" w:lineRule="auto"/>
        <w:ind w:left="72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di aver assolto agli obblighi di cui alla legge n. 68/1999;</w:t>
      </w:r>
    </w:p>
    <w:p w:rsidR="00000000" w:rsidDel="00000000" w:rsidP="00000000" w:rsidRDefault="00000000" w:rsidRPr="00000000" w14:paraId="0000019B">
      <w:pPr>
        <w:widowControl w:val="1"/>
        <w:numPr>
          <w:ilvl w:val="0"/>
          <w:numId w:val="15"/>
        </w:numPr>
        <w:pBdr>
          <w:top w:space="0" w:sz="0" w:val="nil"/>
          <w:left w:space="0" w:sz="0" w:val="nil"/>
          <w:bottom w:space="0" w:sz="0" w:val="nil"/>
          <w:right w:space="0" w:sz="0" w:val="nil"/>
          <w:between w:space="0" w:sz="0" w:val="nil"/>
        </w:pBdr>
        <w:spacing w:line="276" w:lineRule="auto"/>
        <w:ind w:left="72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di non essere incorso nell’interdizione automatica per inadempimento dell’obbligo di consegnare alla stazione appaltante, entro sei mesi dalla conclusione del contratto, la relazione di genere di cui all’articolo 47, comma 3, del decreto legge n. 77/2022; </w:t>
      </w:r>
    </w:p>
    <w:p w:rsidR="00000000" w:rsidDel="00000000" w:rsidP="00000000" w:rsidRDefault="00000000" w:rsidRPr="00000000" w14:paraId="0000019C">
      <w:pPr>
        <w:widowControl w:val="1"/>
        <w:numPr>
          <w:ilvl w:val="0"/>
          <w:numId w:val="1"/>
        </w:numPr>
        <w:pBdr>
          <w:top w:space="0" w:sz="0" w:val="nil"/>
          <w:left w:space="0" w:sz="0" w:val="nil"/>
          <w:bottom w:space="0" w:sz="0" w:val="nil"/>
          <w:right w:space="0" w:sz="0" w:val="nil"/>
          <w:between w:space="0" w:sz="0" w:val="nil"/>
        </w:pBdr>
        <w:spacing w:after="60" w:before="60" w:line="276" w:lineRule="auto"/>
        <w:ind w:left="72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di assumersi l’obbligo, in caso di aggiudicazione del contratto, di assicurare all’occupazione giovanile una quota di 30 % e a quella femminile una quota di 30% delle assunzioni necessarie per l'esecuzione del contratto o per la realizzazione di attività ad esso connesse o strumentali;</w:t>
      </w:r>
    </w:p>
    <w:p w:rsidR="00000000" w:rsidDel="00000000" w:rsidP="00000000" w:rsidRDefault="00000000" w:rsidRPr="00000000" w14:paraId="0000019D">
      <w:pPr>
        <w:widowControl w:val="1"/>
        <w:numPr>
          <w:ilvl w:val="0"/>
          <w:numId w:val="15"/>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di impegnarsi a sottoscrivere la dichiarazione di conformità agli standard sociali minimi di cui all’allegato I al decreto del Ministero dell’Ambiente e della Tutela del Territorio e del Mare del 6 giugno 2012; </w:t>
      </w:r>
      <w:r w:rsidDel="00000000" w:rsidR="00000000" w:rsidRPr="00000000">
        <w:rPr>
          <w:rtl w:val="0"/>
        </w:rPr>
      </w:r>
    </w:p>
    <w:p w:rsidR="00000000" w:rsidDel="00000000" w:rsidP="00000000" w:rsidRDefault="00000000" w:rsidRPr="00000000" w14:paraId="0000019E">
      <w:pPr>
        <w:widowControl w:val="1"/>
        <w:numPr>
          <w:ilvl w:val="0"/>
          <w:numId w:val="15"/>
        </w:numPr>
        <w:spacing w:after="60" w:before="60" w:line="276" w:lineRule="auto"/>
        <w:ind w:left="720" w:hanging="360"/>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 essere edotto degli obblighi derivanti dal Codice di comportamento adottato dalla stazione appaltante Sidra spa reperibile al seguente link: </w:t>
      </w:r>
      <w:hyperlink r:id="rId19">
        <w:r w:rsidDel="00000000" w:rsidR="00000000" w:rsidRPr="00000000">
          <w:rPr>
            <w:rFonts w:ascii="Titillium" w:cs="Titillium" w:eastAsia="Titillium" w:hAnsi="Titillium"/>
            <w:color w:val="000080"/>
            <w:sz w:val="18"/>
            <w:szCs w:val="18"/>
            <w:u w:val="single"/>
            <w:rtl w:val="0"/>
          </w:rPr>
          <w:t xml:space="preserve">https://sidraspa.portaletrasparenza.net/it/trasparenza/disposizioni-generali/atti-generali/codice-di-condotta-e-codice-etico.html</w:t>
        </w:r>
      </w:hyperlink>
      <w:r w:rsidDel="00000000" w:rsidR="00000000" w:rsidRPr="00000000">
        <w:rPr>
          <w:rFonts w:ascii="Titillium" w:cs="Titillium" w:eastAsia="Titillium" w:hAnsi="Titillium"/>
          <w:sz w:val="18"/>
          <w:szCs w:val="18"/>
          <w:rtl w:val="0"/>
        </w:rPr>
        <w:t xml:space="preserve"> e di impegnarsi, in caso di aggiudicazione, ad osservare e a far osservare ai propri dipendenti e collaboratori, per quanto applicabile, il suddetto codice, pena la risoluzione del contratto;</w:t>
      </w:r>
    </w:p>
    <w:p w:rsidR="00000000" w:rsidDel="00000000" w:rsidP="00000000" w:rsidRDefault="00000000" w:rsidRPr="00000000" w14:paraId="0000019F">
      <w:pPr>
        <w:widowControl w:val="1"/>
        <w:numPr>
          <w:ilvl w:val="0"/>
          <w:numId w:val="15"/>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di accettare il “protocollo di legalità Accordo quadro Carlo Alberto Dalla Chiesa” stipulato il 12 luglio 2005 fra la Regione siciliana, il Ministero dell’interno, le Prefetture dell’isola, l’autorità di vigilanza sui lavori pubblici, l’INPS e l’INAIL (Circolare Assessore Regionale LL.PP. n. 593 del 31/01/2006);</w:t>
      </w:r>
      <w:r w:rsidDel="00000000" w:rsidR="00000000" w:rsidRPr="00000000">
        <w:rPr>
          <w:rtl w:val="0"/>
        </w:rPr>
      </w:r>
    </w:p>
    <w:p w:rsidR="00000000" w:rsidDel="00000000" w:rsidP="00000000" w:rsidRDefault="00000000" w:rsidRPr="00000000" w14:paraId="000001A0">
      <w:pPr>
        <w:widowControl w:val="1"/>
        <w:numPr>
          <w:ilvl w:val="0"/>
          <w:numId w:val="15"/>
        </w:numPr>
        <w:spacing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per gli operatori economici non residenti e privi di stabile organizzazione in Italia, l’impegno ad uniformarsi, in caso di aggiudicazione, alla disciplina di cui agli articoli 17, comma 2, e 53, comma 3 del decreto del Presidente della Repubblica 633/72 e a comunicare alla stazione appaltante la nomina del proprio rappresentante fiscale, nelle forme di legge;</w:t>
      </w:r>
      <w:r w:rsidDel="00000000" w:rsidR="00000000" w:rsidRPr="00000000">
        <w:rPr>
          <w:rtl w:val="0"/>
        </w:rPr>
      </w:r>
    </w:p>
    <w:p w:rsidR="00000000" w:rsidDel="00000000" w:rsidP="00000000" w:rsidRDefault="00000000" w:rsidRPr="00000000" w14:paraId="000001A1">
      <w:pPr>
        <w:widowControl w:val="1"/>
        <w:spacing w:line="276" w:lineRule="auto"/>
        <w:ind w:left="720" w:firstLine="0"/>
        <w:jc w:val="both"/>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1A2">
      <w:pPr>
        <w:widowControl w:val="1"/>
        <w:numPr>
          <w:ilvl w:val="0"/>
          <w:numId w:val="15"/>
        </w:numPr>
        <w:spacing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per gli operatori economici non residenti e privi di stabile organizzazione in Italia, il domicilio fiscale …, il codice fiscale …, la partita IVA …, l’indirizzo di posta elettronica certificata o strumento analogo negli altri Stati Membri, ai fini delle comunicazioni di cui all’articolo 90 del Codice;</w:t>
      </w:r>
    </w:p>
    <w:p w:rsidR="00000000" w:rsidDel="00000000" w:rsidP="00000000" w:rsidRDefault="00000000" w:rsidRPr="00000000" w14:paraId="000001A3">
      <w:pPr>
        <w:widowControl w:val="1"/>
        <w:numPr>
          <w:ilvl w:val="0"/>
          <w:numId w:val="15"/>
        </w:numPr>
        <w:spacing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 aver preso visione e di accettare il trattamento dei dati personali. </w:t>
      </w:r>
    </w:p>
    <w:p w:rsidR="00000000" w:rsidDel="00000000" w:rsidP="00000000" w:rsidRDefault="00000000" w:rsidRPr="00000000" w14:paraId="000001A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domanda e le relative dichiarazioni sono sottoscritte ai sensi del decreto legislativo n. 82/2005:</w:t>
      </w:r>
    </w:p>
    <w:p w:rsidR="00000000" w:rsidDel="00000000" w:rsidP="00000000" w:rsidRDefault="00000000" w:rsidRPr="00000000" w14:paraId="000001A5">
      <w:pPr>
        <w:widowControl w:val="1"/>
        <w:numPr>
          <w:ilvl w:val="0"/>
          <w:numId w:val="16"/>
        </w:numPr>
        <w:spacing w:after="60" w:before="60" w:line="276" w:lineRule="auto"/>
        <w:ind w:left="426"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dal concorrente che partecipa in forma singola;</w:t>
      </w:r>
    </w:p>
    <w:p w:rsidR="00000000" w:rsidDel="00000000" w:rsidP="00000000" w:rsidRDefault="00000000" w:rsidRPr="00000000" w14:paraId="000001A6">
      <w:pPr>
        <w:widowControl w:val="1"/>
        <w:numPr>
          <w:ilvl w:val="0"/>
          <w:numId w:val="16"/>
        </w:numPr>
        <w:spacing w:after="60" w:before="60" w:line="276" w:lineRule="auto"/>
        <w:ind w:left="426"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di raggruppamento temporaneo o consorzio ordinario o GEIE costituiti, dalla mandataria/capofila;</w:t>
      </w:r>
    </w:p>
    <w:p w:rsidR="00000000" w:rsidDel="00000000" w:rsidP="00000000" w:rsidRDefault="00000000" w:rsidRPr="00000000" w14:paraId="000001A7">
      <w:pPr>
        <w:widowControl w:val="1"/>
        <w:numPr>
          <w:ilvl w:val="0"/>
          <w:numId w:val="16"/>
        </w:numPr>
        <w:spacing w:after="60" w:before="60" w:line="276" w:lineRule="auto"/>
        <w:ind w:left="426"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di raggruppamento temporaneo o consorzio ordinario o GEIE non ancora costituiti, da tutti i soggetti che costituiranno il raggruppamento o il consorzio o il gruppo;</w:t>
      </w:r>
    </w:p>
    <w:p w:rsidR="00000000" w:rsidDel="00000000" w:rsidP="00000000" w:rsidRDefault="00000000" w:rsidRPr="00000000" w14:paraId="000001A8">
      <w:pPr>
        <w:widowControl w:val="1"/>
        <w:numPr>
          <w:ilvl w:val="0"/>
          <w:numId w:val="16"/>
        </w:numPr>
        <w:spacing w:after="60" w:before="60" w:line="276" w:lineRule="auto"/>
        <w:ind w:left="426"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di aggregazioni di retisti:</w:t>
      </w:r>
    </w:p>
    <w:p w:rsidR="00000000" w:rsidDel="00000000" w:rsidP="00000000" w:rsidRDefault="00000000" w:rsidRPr="00000000" w14:paraId="000001A9">
      <w:pPr>
        <w:widowControl w:val="1"/>
        <w:numPr>
          <w:ilvl w:val="4"/>
          <w:numId w:val="34"/>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la rete è dotata di un organo comune con potere di rappresentanza e con soggettività giuridica, ai sensi dell’articolo 3, comma 4-</w:t>
      </w:r>
      <w:r w:rsidDel="00000000" w:rsidR="00000000" w:rsidRPr="00000000">
        <w:rPr>
          <w:rFonts w:ascii="Titillium" w:cs="Titillium" w:eastAsia="Titillium" w:hAnsi="Titillium"/>
          <w:i w:val="1"/>
          <w:sz w:val="18"/>
          <w:szCs w:val="18"/>
          <w:rtl w:val="0"/>
        </w:rPr>
        <w:t xml:space="preserve">quater</w:t>
      </w:r>
      <w:r w:rsidDel="00000000" w:rsidR="00000000" w:rsidRPr="00000000">
        <w:rPr>
          <w:rFonts w:ascii="Titillium" w:cs="Titillium" w:eastAsia="Titillium" w:hAnsi="Titillium"/>
          <w:sz w:val="18"/>
          <w:szCs w:val="18"/>
          <w:rtl w:val="0"/>
        </w:rPr>
        <w:t xml:space="preserve">, del decreto legge 10 febbraio 2009, n. 5, la domanda di partecipazione deve essere sottoscritta dal solo operatore economico che riveste la funzione di organo comune;</w:t>
      </w:r>
    </w:p>
    <w:p w:rsidR="00000000" w:rsidDel="00000000" w:rsidP="00000000" w:rsidRDefault="00000000" w:rsidRPr="00000000" w14:paraId="000001AA">
      <w:pPr>
        <w:widowControl w:val="1"/>
        <w:numPr>
          <w:ilvl w:val="4"/>
          <w:numId w:val="34"/>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la rete è dotata di un organo comune con potere di rappresentanza ma è priva di soggettività giuridica, ai sensi dell’articolo 3, comma 4-</w:t>
      </w:r>
      <w:r w:rsidDel="00000000" w:rsidR="00000000" w:rsidRPr="00000000">
        <w:rPr>
          <w:rFonts w:ascii="Titillium" w:cs="Titillium" w:eastAsia="Titillium" w:hAnsi="Titillium"/>
          <w:i w:val="1"/>
          <w:sz w:val="18"/>
          <w:szCs w:val="18"/>
          <w:rtl w:val="0"/>
        </w:rPr>
        <w:t xml:space="preserve">quater</w:t>
      </w:r>
      <w:r w:rsidDel="00000000" w:rsidR="00000000" w:rsidRPr="00000000">
        <w:rPr>
          <w:rFonts w:ascii="Titillium" w:cs="Titillium" w:eastAsia="Titillium" w:hAnsi="Titillium"/>
          <w:sz w:val="18"/>
          <w:szCs w:val="18"/>
          <w:rtl w:val="0"/>
        </w:rPr>
        <w:t xml:space="preserve">, del decreto legge 10 febbraio 2009, n. 5, la domanda di partecipazione deve essere sottoscritta dall’impresa che riveste le funzioni di organo comune nonché da ognuno dei retisti che partecipa alla gara; </w:t>
      </w:r>
    </w:p>
    <w:p w:rsidR="00000000" w:rsidDel="00000000" w:rsidP="00000000" w:rsidRDefault="00000000" w:rsidRPr="00000000" w14:paraId="000001AB">
      <w:pPr>
        <w:widowControl w:val="1"/>
        <w:numPr>
          <w:ilvl w:val="4"/>
          <w:numId w:val="34"/>
        </w:numPr>
        <w:spacing w:after="60" w:before="60" w:line="276" w:lineRule="auto"/>
        <w:ind w:left="709" w:hanging="28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la rete è dotata di un organo comune privo del potere di rappresentanza o se la rete è sprovvista di organo comune, oppure se l’organo comune è privo dei requisiti di qualificazione richiesti per assumere la veste di mandataria, la domanda di partecipazione deve essere sottoscritta dal retista che riveste la qualifica di mandatario, ovvero, in caso di partecipazione nelle forme del raggruppamento da costituirsi, da ognuno dei retisti che partecipa alla gara. </w:t>
      </w:r>
    </w:p>
    <w:p w:rsidR="00000000" w:rsidDel="00000000" w:rsidP="00000000" w:rsidRDefault="00000000" w:rsidRPr="00000000" w14:paraId="000001AC">
      <w:pPr>
        <w:widowControl w:val="1"/>
        <w:spacing w:after="60" w:before="60" w:line="276" w:lineRule="auto"/>
        <w:ind w:left="426" w:hanging="256"/>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 </w:t>
        <w:tab/>
        <w:t xml:space="preserve">nel caso di consorzio di cooperative e imprese artigiane o di consorzio stabile di cui all’articolo 65, comma 2, lettera b), c) e d) del Codice, la domanda è sottoscritta digitalmente dal consorzio medesimo.</w:t>
      </w:r>
    </w:p>
    <w:p w:rsidR="00000000" w:rsidDel="00000000" w:rsidP="00000000" w:rsidRDefault="00000000" w:rsidRPr="00000000" w14:paraId="000001AD">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domanda e le relative dichiarazioni sono firmate dal legale rappresentante del concorrente o da un suo procuratore munito della relativa procura</w:t>
      </w:r>
      <w:r w:rsidDel="00000000" w:rsidR="00000000" w:rsidRPr="00000000">
        <w:rPr>
          <w:rFonts w:ascii="Titillium" w:cs="Titillium" w:eastAsia="Titillium" w:hAnsi="Titillium"/>
          <w:b w:val="1"/>
          <w:sz w:val="18"/>
          <w:szCs w:val="18"/>
          <w:rtl w:val="0"/>
        </w:rPr>
        <w:t xml:space="preserve">. </w:t>
      </w:r>
      <w:r w:rsidDel="00000000" w:rsidR="00000000" w:rsidRPr="00000000">
        <w:rPr>
          <w:rFonts w:ascii="Titillium" w:cs="Titillium" w:eastAsia="Titillium" w:hAnsi="Titillium"/>
          <w:sz w:val="18"/>
          <w:szCs w:val="18"/>
          <w:rtl w:val="0"/>
        </w:rPr>
        <w:t xml:space="preserve">In tal caso, il concorrente allega alla domanda copia conforme all’originale della procura. Non è necessario allegare la procura se dalla visura camerale del concorrente risulti l’indicazione espressa dei poteri rappresentativi conferiti al procuratore;</w:t>
      </w:r>
    </w:p>
    <w:p w:rsidR="00000000" w:rsidDel="00000000" w:rsidP="00000000" w:rsidRDefault="00000000" w:rsidRPr="00000000" w14:paraId="000001AE">
      <w:pPr>
        <w:widowControl w:val="1"/>
        <w:spacing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AF">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domanda di partecipazione deve essere presentata nel rispetto di quanto stabilito dal Decreto del Presidente della Repubblica n. 642/72 in ordine all’assolvimento dell’imposta di bollo. Il pagamento della suddetta imposta del valore di € 16,00 viene effettuato tramite F24, bollo virtuale previa autorizzazione rilasciata dall’Agenzia delle Entrate o tramite il servizio @e.bollo</w:t>
      </w:r>
      <w:r w:rsidDel="00000000" w:rsidR="00000000" w:rsidRPr="00000000">
        <w:rPr>
          <w:rFonts w:ascii="Calibri" w:cs="Calibri" w:eastAsia="Calibri" w:hAnsi="Calibri"/>
          <w:sz w:val="18"/>
          <w:szCs w:val="18"/>
          <w:rtl w:val="0"/>
        </w:rPr>
        <w:t xml:space="preserve"> </w:t>
      </w:r>
      <w:r w:rsidDel="00000000" w:rsidR="00000000" w:rsidRPr="00000000">
        <w:rPr>
          <w:rFonts w:ascii="Titillium" w:cs="Titillium" w:eastAsia="Titillium" w:hAnsi="Titillium"/>
          <w:sz w:val="18"/>
          <w:szCs w:val="18"/>
          <w:rtl w:val="0"/>
        </w:rPr>
        <w:t xml:space="preserve">dell'Agenzia delle Entrate o per gli operatori economici esteri tramite il pagamento del tributo con bonifico utilizzando il codice Iban IT07Y0100003245348008120501 e specificando nella causale la propria denominazione, codice fiscale (se presente) e gli estremi dell'atto a cui si riferisce il pagamento. </w:t>
      </w:r>
      <w:r w:rsidDel="00000000" w:rsidR="00000000" w:rsidRPr="00000000">
        <w:rPr>
          <w:rFonts w:ascii="Titillium" w:cs="Titillium" w:eastAsia="Titillium" w:hAnsi="Titillium"/>
          <w:i w:val="1"/>
          <w:sz w:val="18"/>
          <w:szCs w:val="18"/>
          <w:rtl w:val="0"/>
        </w:rPr>
        <w:t xml:space="preserve"> </w:t>
      </w:r>
      <w:r w:rsidDel="00000000" w:rsidR="00000000" w:rsidRPr="00000000">
        <w:rPr>
          <w:rtl w:val="0"/>
        </w:rPr>
      </w:r>
    </w:p>
    <w:p w:rsidR="00000000" w:rsidDel="00000000" w:rsidP="00000000" w:rsidRDefault="00000000" w:rsidRPr="00000000" w14:paraId="000001B0">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A comprova del pagamento, il concorrente allega la ricevuta di pagamento elettronico ovvero del bonifico bancario.</w:t>
      </w:r>
      <w:r w:rsidDel="00000000" w:rsidR="00000000" w:rsidRPr="00000000">
        <w:rPr>
          <w:rtl w:val="0"/>
        </w:rPr>
      </w:r>
    </w:p>
    <w:p w:rsidR="00000000" w:rsidDel="00000000" w:rsidP="00000000" w:rsidRDefault="00000000" w:rsidRPr="00000000" w14:paraId="000001B1">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In alternativa il concorrente può acquistare la marca da bollo da euro 16,00 ed inserire il suo numero seriale all'interno della dichiarazione contenuta nell'istanza telematica e allegare, obbligatoriamente copia del contrassegno in formato.pdf. Il concorrente si assume ogni responsabilità in caso di utilizzo plurimo dei contrassegni. </w:t>
      </w:r>
    </w:p>
    <w:p w:rsidR="00000000" w:rsidDel="00000000" w:rsidP="00000000" w:rsidRDefault="00000000" w:rsidRPr="00000000" w14:paraId="000001B2">
      <w:pPr>
        <w:widowControl w:val="1"/>
        <w:spacing w:after="60" w:before="6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1B3">
      <w:pPr>
        <w:pStyle w:val="Heading4"/>
        <w:rPr/>
      </w:pPr>
      <w:bookmarkStart w:colFirst="0" w:colLast="0" w:name="_heading=h.4f1mdlm" w:id="44"/>
      <w:bookmarkEnd w:id="44"/>
      <w:r w:rsidDel="00000000" w:rsidR="00000000" w:rsidRPr="00000000">
        <w:rPr>
          <w:rtl w:val="0"/>
        </w:rPr>
        <w:t xml:space="preserve">DICHIARAZIONI DA RENDERE A CURA DEGLI  OPERATORI ECONOMICI AMMESSI AL CONCORDATO PREVENTIVO CON CONTINUITÀ AZIENDALE DI CUI ALL’ARTICOLO 372 DEL DECRETO LEGISLATIVO 12 GENNAIO 2019 , n. 14</w:t>
      </w:r>
    </w:p>
    <w:p w:rsidR="00000000" w:rsidDel="00000000" w:rsidP="00000000" w:rsidRDefault="00000000" w:rsidRPr="00000000" w14:paraId="000001B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concorrente dichiara ai sensi degli articoli 46 e 47 del decreto del Presidente della Repubblica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w:t>
      </w:r>
    </w:p>
    <w:p w:rsidR="00000000" w:rsidDel="00000000" w:rsidP="00000000" w:rsidRDefault="00000000" w:rsidRPr="00000000" w14:paraId="000001B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concorrente presenta una relazione di un professionista in possesso dei requisiti di cui all'</w:t>
      </w:r>
      <w:hyperlink r:id="rId20">
        <w:r w:rsidDel="00000000" w:rsidR="00000000" w:rsidRPr="00000000">
          <w:rPr>
            <w:rFonts w:ascii="Titillium" w:cs="Titillium" w:eastAsia="Titillium" w:hAnsi="Titillium"/>
            <w:color w:val="0563c1"/>
            <w:sz w:val="18"/>
            <w:szCs w:val="18"/>
            <w:u w:val="single"/>
            <w:rtl w:val="0"/>
          </w:rPr>
          <w:t xml:space="preserve">articolo 2, comma 1, lettera o) del decreto legislativo succitato </w:t>
        </w:r>
      </w:hyperlink>
      <w:r w:rsidDel="00000000" w:rsidR="00000000" w:rsidRPr="00000000">
        <w:rPr>
          <w:rFonts w:ascii="Titillium" w:cs="Titillium" w:eastAsia="Titillium" w:hAnsi="Titillium"/>
          <w:sz w:val="18"/>
          <w:szCs w:val="18"/>
          <w:rtl w:val="0"/>
        </w:rPr>
        <w:t xml:space="preserve">che attesta la conformità al piano e la ragionevole capacità di adempimento del contratto.</w:t>
      </w:r>
    </w:p>
    <w:p w:rsidR="00000000" w:rsidDel="00000000" w:rsidP="00000000" w:rsidRDefault="00000000" w:rsidRPr="00000000" w14:paraId="000001B6">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B7">
      <w:pPr>
        <w:pStyle w:val="Heading4"/>
        <w:rPr>
          <w:rFonts w:ascii="Garamond" w:cs="Garamond" w:eastAsia="Garamond" w:hAnsi="Garamond"/>
        </w:rPr>
      </w:pPr>
      <w:r w:rsidDel="00000000" w:rsidR="00000000" w:rsidRPr="00000000">
        <w:rPr>
          <w:rtl w:val="0"/>
        </w:rPr>
        <w:t xml:space="preserve">DOCUMENTAZIONE IN CASO DI AVVALIMENTO</w:t>
      </w:r>
      <w:r w:rsidDel="00000000" w:rsidR="00000000" w:rsidRPr="00000000">
        <w:rPr>
          <w:rtl w:val="0"/>
        </w:rPr>
      </w:r>
    </w:p>
    <w:p w:rsidR="00000000" w:rsidDel="00000000" w:rsidP="00000000" w:rsidRDefault="00000000" w:rsidRPr="00000000" w14:paraId="000001B8">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L’impresa ausiliaria rende le dichiarazioni sul possesso dei requisiti di ordine generale mediante compilazione dell’apposita sezione del DGUE. </w:t>
      </w:r>
    </w:p>
    <w:p w:rsidR="00000000" w:rsidDel="00000000" w:rsidP="00000000" w:rsidRDefault="00000000" w:rsidRPr="00000000" w14:paraId="000001B9">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concorrente, per ciascuna ausiliaria, allega:</w:t>
      </w:r>
    </w:p>
    <w:p w:rsidR="00000000" w:rsidDel="00000000" w:rsidP="00000000" w:rsidRDefault="00000000" w:rsidRPr="00000000" w14:paraId="000001BA">
      <w:pPr>
        <w:widowControl w:val="1"/>
        <w:numPr>
          <w:ilvl w:val="2"/>
          <w:numId w:val="7"/>
        </w:numPr>
        <w:spacing w:after="60" w:before="60" w:line="276" w:lineRule="auto"/>
        <w:ind w:left="567" w:hanging="567"/>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dichiarazione di avvalimento;</w:t>
      </w:r>
    </w:p>
    <w:p w:rsidR="00000000" w:rsidDel="00000000" w:rsidP="00000000" w:rsidRDefault="00000000" w:rsidRPr="00000000" w14:paraId="000001BB">
      <w:pPr>
        <w:widowControl w:val="1"/>
        <w:numPr>
          <w:ilvl w:val="2"/>
          <w:numId w:val="7"/>
        </w:numPr>
        <w:spacing w:after="60" w:before="60" w:line="276" w:lineRule="auto"/>
        <w:ind w:left="567" w:hanging="567"/>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contratto di avvalimento;</w:t>
      </w:r>
    </w:p>
    <w:p w:rsidR="00000000" w:rsidDel="00000000" w:rsidP="00000000" w:rsidRDefault="00000000" w:rsidRPr="00000000" w14:paraId="000001BC">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di avvalimento finalizzato al miglioramento dell’offerta, il contratto di avvalimento è presentato nell’offerta tecnica.</w:t>
      </w:r>
    </w:p>
    <w:p w:rsidR="00000000" w:rsidDel="00000000" w:rsidP="00000000" w:rsidRDefault="00000000" w:rsidRPr="00000000" w14:paraId="000001BD">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BE">
      <w:pPr>
        <w:pStyle w:val="Heading4"/>
        <w:rPr/>
      </w:pPr>
      <w:r w:rsidDel="00000000" w:rsidR="00000000" w:rsidRPr="00000000">
        <w:rPr>
          <w:rtl w:val="0"/>
        </w:rPr>
        <w:t xml:space="preserve">DOCUMENTAZIONE ULTERIORE PER I SOGGETTI ASSOCIATI</w:t>
      </w:r>
    </w:p>
    <w:p w:rsidR="00000000" w:rsidDel="00000000" w:rsidP="00000000" w:rsidRDefault="00000000" w:rsidRPr="00000000" w14:paraId="000001BF">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Per i raggruppamenti temporanei già costituiti</w:t>
      </w:r>
    </w:p>
    <w:p w:rsidR="00000000" w:rsidDel="00000000" w:rsidP="00000000" w:rsidRDefault="00000000" w:rsidRPr="00000000" w14:paraId="000001C0">
      <w:pPr>
        <w:widowControl w:val="1"/>
        <w:numPr>
          <w:ilvl w:val="0"/>
          <w:numId w:val="10"/>
        </w:numPr>
        <w:spacing w:after="60" w:before="60"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copia del mandato collettivo irrevocabile con rappresentanza conferito alla mandataria per atto pubblico o scrittura privata autenticata;</w:t>
      </w:r>
    </w:p>
    <w:p w:rsidR="00000000" w:rsidDel="00000000" w:rsidP="00000000" w:rsidRDefault="00000000" w:rsidRPr="00000000" w14:paraId="000001C1">
      <w:pPr>
        <w:widowControl w:val="1"/>
        <w:numPr>
          <w:ilvl w:val="0"/>
          <w:numId w:val="10"/>
        </w:numPr>
        <w:spacing w:after="60" w:before="60"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dichiarazione delle parti del servizio/fornitura, ovvero della percentuale in caso di servizio/forniture indivisibili, che saranno eseguite dai singoli operatori economici riuniti o consorziati. </w:t>
      </w:r>
    </w:p>
    <w:p w:rsidR="00000000" w:rsidDel="00000000" w:rsidP="00000000" w:rsidRDefault="00000000" w:rsidRPr="00000000" w14:paraId="000001C2">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Per i consorzi ordinari o GEIE già costituiti</w:t>
      </w:r>
    </w:p>
    <w:p w:rsidR="00000000" w:rsidDel="00000000" w:rsidP="00000000" w:rsidRDefault="00000000" w:rsidRPr="00000000" w14:paraId="000001C3">
      <w:pPr>
        <w:widowControl w:val="1"/>
        <w:numPr>
          <w:ilvl w:val="0"/>
          <w:numId w:val="10"/>
        </w:numPr>
        <w:spacing w:after="60" w:before="60"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copia dell’atto costitutivo e dello statuto del consorzio o GEIE, con indicazione del soggetto designato quale capofila; </w:t>
      </w:r>
    </w:p>
    <w:p w:rsidR="00000000" w:rsidDel="00000000" w:rsidP="00000000" w:rsidRDefault="00000000" w:rsidRPr="00000000" w14:paraId="000001C4">
      <w:pPr>
        <w:widowControl w:val="1"/>
        <w:numPr>
          <w:ilvl w:val="0"/>
          <w:numId w:val="10"/>
        </w:numPr>
        <w:spacing w:after="60" w:before="60"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dichiarazione sottoscritta delle parti del servizio/fornitura, ovvero la percentuale in caso di servizi/forniture indivisibili, che saranno eseguite dai singoli operatori economici consorziati. </w:t>
      </w:r>
    </w:p>
    <w:p w:rsidR="00000000" w:rsidDel="00000000" w:rsidP="00000000" w:rsidRDefault="00000000" w:rsidRPr="00000000" w14:paraId="000001C5">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Per i raggruppamenti temporanei o consorzi ordinari o GEIE non ancora costituiti</w:t>
      </w:r>
    </w:p>
    <w:p w:rsidR="00000000" w:rsidDel="00000000" w:rsidP="00000000" w:rsidRDefault="00000000" w:rsidRPr="00000000" w14:paraId="000001C6">
      <w:pPr>
        <w:widowControl w:val="1"/>
        <w:numPr>
          <w:ilvl w:val="0"/>
          <w:numId w:val="10"/>
        </w:numPr>
        <w:spacing w:after="60" w:before="60" w:line="276" w:lineRule="auto"/>
        <w:ind w:left="284"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 dichiarazione rese da ciascun concorrente, attestante:</w:t>
      </w:r>
    </w:p>
    <w:p w:rsidR="00000000" w:rsidDel="00000000" w:rsidP="00000000" w:rsidRDefault="00000000" w:rsidRPr="00000000" w14:paraId="000001C7">
      <w:pPr>
        <w:widowControl w:val="1"/>
        <w:numPr>
          <w:ilvl w:val="0"/>
          <w:numId w:val="35"/>
        </w:numPr>
        <w:spacing w:after="60" w:before="60" w:line="276" w:lineRule="auto"/>
        <w:ind w:left="709" w:hanging="284"/>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 quale operatore economico, in caso di aggiudicazione, sarà conferito mandato speciale con rappresentanza o funzioni di capogruppo;</w:t>
      </w:r>
    </w:p>
    <w:p w:rsidR="00000000" w:rsidDel="00000000" w:rsidP="00000000" w:rsidRDefault="00000000" w:rsidRPr="00000000" w14:paraId="000001C8">
      <w:pPr>
        <w:widowControl w:val="1"/>
        <w:numPr>
          <w:ilvl w:val="0"/>
          <w:numId w:val="35"/>
        </w:numPr>
        <w:spacing w:after="60" w:before="60" w:line="276" w:lineRule="auto"/>
        <w:ind w:left="709" w:hanging="284"/>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l’impegno, in caso di aggiudicazione, ad uniformarsi alla disciplina vigente con riguardo ai raggruppamenti temporanei o consorzi o GEIE ai sensi dell’articolo 68 del Codice conferendo mandato collettivo speciale con rappresentanza all’impresa qualificata come mandataria che stipulerà il contratto in nome e per conto delle mandanti/consorziate;</w:t>
      </w:r>
      <w:r w:rsidDel="00000000" w:rsidR="00000000" w:rsidRPr="00000000">
        <w:rPr>
          <w:rtl w:val="0"/>
        </w:rPr>
      </w:r>
    </w:p>
    <w:p w:rsidR="00000000" w:rsidDel="00000000" w:rsidP="00000000" w:rsidRDefault="00000000" w:rsidRPr="00000000" w14:paraId="000001C9">
      <w:pPr>
        <w:widowControl w:val="1"/>
        <w:numPr>
          <w:ilvl w:val="0"/>
          <w:numId w:val="35"/>
        </w:numPr>
        <w:spacing w:after="60" w:before="60" w:line="276" w:lineRule="auto"/>
        <w:ind w:left="709" w:hanging="284"/>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le parti del servizio/fornitura, ovvero la percentuale in caso di servizio/forniture indivisibili, che saranno eseguite dai singoli operatori economici riuniti o consorziati. </w:t>
      </w:r>
      <w:r w:rsidDel="00000000" w:rsidR="00000000" w:rsidRPr="00000000">
        <w:rPr>
          <w:rtl w:val="0"/>
        </w:rPr>
      </w:r>
    </w:p>
    <w:p w:rsidR="00000000" w:rsidDel="00000000" w:rsidP="00000000" w:rsidRDefault="00000000" w:rsidRPr="00000000" w14:paraId="000001CA">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Per le aggregazioni di retisti: se la rete è dotata di un organo comune con potere di rappresentanza e soggettività giuridica</w:t>
      </w:r>
    </w:p>
    <w:p w:rsidR="00000000" w:rsidDel="00000000" w:rsidP="00000000" w:rsidRDefault="00000000" w:rsidRPr="00000000" w14:paraId="000001CB">
      <w:pPr>
        <w:widowControl w:val="1"/>
        <w:numPr>
          <w:ilvl w:val="0"/>
          <w:numId w:val="8"/>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copia del contratto di rete, con indicazione dell’organo comune che agisce in rappresentanza della rete.</w:t>
      </w:r>
    </w:p>
    <w:p w:rsidR="00000000" w:rsidDel="00000000" w:rsidP="00000000" w:rsidRDefault="00000000" w:rsidRPr="00000000" w14:paraId="000001CC">
      <w:pPr>
        <w:widowControl w:val="1"/>
        <w:numPr>
          <w:ilvl w:val="0"/>
          <w:numId w:val="8"/>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dichiarazione che indichi per quali imprese la rete concorre; </w:t>
      </w:r>
    </w:p>
    <w:p w:rsidR="00000000" w:rsidDel="00000000" w:rsidP="00000000" w:rsidRDefault="00000000" w:rsidRPr="00000000" w14:paraId="000001CD">
      <w:pPr>
        <w:widowControl w:val="1"/>
        <w:numPr>
          <w:ilvl w:val="0"/>
          <w:numId w:val="8"/>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dichiarazione sottoscritta con firma digitale delle parti del servizio o della fornitura, ovvero la percentuale in caso di servizio/forniture indivisibili, che saranno eseguite dai singoli operatori economici aggregati in rete. </w:t>
      </w:r>
    </w:p>
    <w:p w:rsidR="00000000" w:rsidDel="00000000" w:rsidP="00000000" w:rsidRDefault="00000000" w:rsidRPr="00000000" w14:paraId="000001CE">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Per le aggregazioni di retisti: se la rete è dotata di un organo comune con potere di rappresentanza ma è priva di soggettività giuridica</w:t>
      </w:r>
    </w:p>
    <w:p w:rsidR="00000000" w:rsidDel="00000000" w:rsidP="00000000" w:rsidRDefault="00000000" w:rsidRPr="00000000" w14:paraId="000001CF">
      <w:pPr>
        <w:widowControl w:val="1"/>
        <w:numPr>
          <w:ilvl w:val="0"/>
          <w:numId w:val="8"/>
        </w:numPr>
        <w:spacing w:after="60" w:before="60" w:line="276" w:lineRule="auto"/>
        <w:ind w:left="709" w:hanging="425"/>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copia del contratto di rete;</w:t>
      </w:r>
    </w:p>
    <w:p w:rsidR="00000000" w:rsidDel="00000000" w:rsidP="00000000" w:rsidRDefault="00000000" w:rsidRPr="00000000" w14:paraId="000001D0">
      <w:pPr>
        <w:widowControl w:val="1"/>
        <w:numPr>
          <w:ilvl w:val="0"/>
          <w:numId w:val="8"/>
        </w:numPr>
        <w:spacing w:after="60" w:before="60" w:line="276" w:lineRule="auto"/>
        <w:ind w:left="709" w:hanging="425"/>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copia del mandato collettivo irrevocabile con rappresentanza conferito all’organo comune; </w:t>
      </w:r>
    </w:p>
    <w:p w:rsidR="00000000" w:rsidDel="00000000" w:rsidP="00000000" w:rsidRDefault="00000000" w:rsidRPr="00000000" w14:paraId="000001D1">
      <w:pPr>
        <w:widowControl w:val="1"/>
        <w:numPr>
          <w:ilvl w:val="0"/>
          <w:numId w:val="8"/>
        </w:numPr>
        <w:spacing w:after="60" w:before="60" w:line="276" w:lineRule="auto"/>
        <w:ind w:left="709" w:hanging="425"/>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dichiarazione delle parti del servizio o della fornitura, ovvero la percentuale in caso di servizio/forniture indivisibili, che saranno eseguite dai singoli operatori economici aggregati in rete.</w:t>
      </w:r>
    </w:p>
    <w:p w:rsidR="00000000" w:rsidDel="00000000" w:rsidP="00000000" w:rsidRDefault="00000000" w:rsidRPr="00000000" w14:paraId="000001D2">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o costituendo</w:t>
      </w:r>
    </w:p>
    <w:p w:rsidR="00000000" w:rsidDel="00000000" w:rsidP="00000000" w:rsidRDefault="00000000" w:rsidRPr="00000000" w14:paraId="000001D3">
      <w:pPr>
        <w:widowControl w:val="1"/>
        <w:numPr>
          <w:ilvl w:val="0"/>
          <w:numId w:val="8"/>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b w:val="1"/>
          <w:sz w:val="18"/>
          <w:szCs w:val="18"/>
          <w:rtl w:val="0"/>
        </w:rPr>
        <w:t xml:space="preserve">in caso di raggruppamento temporaneo di imprese costituito</w:t>
      </w:r>
      <w:r w:rsidDel="00000000" w:rsidR="00000000" w:rsidRPr="00000000">
        <w:rPr>
          <w:rFonts w:ascii="Titillium" w:cs="Titillium" w:eastAsia="Titillium" w:hAnsi="Titillium"/>
          <w:sz w:val="18"/>
          <w:szCs w:val="18"/>
          <w:rtl w:val="0"/>
        </w:rPr>
        <w:t xml:space="preserve">: </w:t>
      </w:r>
      <w:r w:rsidDel="00000000" w:rsidR="00000000" w:rsidRPr="00000000">
        <w:rPr>
          <w:rtl w:val="0"/>
        </w:rPr>
      </w:r>
    </w:p>
    <w:p w:rsidR="00000000" w:rsidDel="00000000" w:rsidP="00000000" w:rsidRDefault="00000000" w:rsidRPr="00000000" w14:paraId="000001D4">
      <w:pPr>
        <w:widowControl w:val="1"/>
        <w:numPr>
          <w:ilvl w:val="0"/>
          <w:numId w:val="8"/>
        </w:numPr>
        <w:spacing w:after="60" w:before="60" w:line="276" w:lineRule="auto"/>
        <w:ind w:left="851" w:hanging="142.0000000000000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copia del contratto di rete</w:t>
      </w:r>
    </w:p>
    <w:p w:rsidR="00000000" w:rsidDel="00000000" w:rsidP="00000000" w:rsidRDefault="00000000" w:rsidRPr="00000000" w14:paraId="000001D5">
      <w:pPr>
        <w:widowControl w:val="1"/>
        <w:numPr>
          <w:ilvl w:val="0"/>
          <w:numId w:val="8"/>
        </w:numPr>
        <w:spacing w:after="60" w:before="60" w:line="276" w:lineRule="auto"/>
        <w:ind w:left="851" w:hanging="142.0000000000000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copia del mandato collettivo irrevocabile con rappresentanza conferito alla mandataria</w:t>
      </w:r>
    </w:p>
    <w:p w:rsidR="00000000" w:rsidDel="00000000" w:rsidP="00000000" w:rsidRDefault="00000000" w:rsidRPr="00000000" w14:paraId="000001D6">
      <w:pPr>
        <w:widowControl w:val="1"/>
        <w:numPr>
          <w:ilvl w:val="0"/>
          <w:numId w:val="8"/>
        </w:numPr>
        <w:spacing w:after="60" w:before="60" w:line="276" w:lineRule="auto"/>
        <w:ind w:left="851" w:hanging="142.0000000000000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dichiarazione delle parti del servizio o della fornitura, ovvero la percentuale in caso di servizio/forniture indivisibili, che saranno eseguite dai singoli operatori economici aggregati in rete.</w:t>
      </w:r>
    </w:p>
    <w:p w:rsidR="00000000" w:rsidDel="00000000" w:rsidP="00000000" w:rsidRDefault="00000000" w:rsidRPr="00000000" w14:paraId="000001D7">
      <w:pPr>
        <w:widowControl w:val="1"/>
        <w:numPr>
          <w:ilvl w:val="0"/>
          <w:numId w:val="8"/>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b w:val="1"/>
          <w:sz w:val="18"/>
          <w:szCs w:val="18"/>
          <w:rtl w:val="0"/>
        </w:rPr>
        <w:t xml:space="preserve">in caso di raggruppamento temporaneo di imprese costituendo</w:t>
      </w:r>
      <w:r w:rsidDel="00000000" w:rsidR="00000000" w:rsidRPr="00000000">
        <w:rPr>
          <w:rFonts w:ascii="Titillium" w:cs="Titillium" w:eastAsia="Titillium" w:hAnsi="Titillium"/>
          <w:sz w:val="18"/>
          <w:szCs w:val="18"/>
          <w:rtl w:val="0"/>
        </w:rPr>
        <w:t xml:space="preserve">: </w:t>
      </w:r>
      <w:r w:rsidDel="00000000" w:rsidR="00000000" w:rsidRPr="00000000">
        <w:rPr>
          <w:rtl w:val="0"/>
        </w:rPr>
      </w:r>
    </w:p>
    <w:p w:rsidR="00000000" w:rsidDel="00000000" w:rsidP="00000000" w:rsidRDefault="00000000" w:rsidRPr="00000000" w14:paraId="000001D8">
      <w:pPr>
        <w:widowControl w:val="1"/>
        <w:numPr>
          <w:ilvl w:val="0"/>
          <w:numId w:val="8"/>
        </w:numPr>
        <w:spacing w:after="60" w:before="60" w:line="276" w:lineRule="auto"/>
        <w:ind w:left="851" w:hanging="142.0000000000000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copia del contratto di rete</w:t>
      </w:r>
    </w:p>
    <w:p w:rsidR="00000000" w:rsidDel="00000000" w:rsidP="00000000" w:rsidRDefault="00000000" w:rsidRPr="00000000" w14:paraId="000001D9">
      <w:pPr>
        <w:widowControl w:val="1"/>
        <w:numPr>
          <w:ilvl w:val="0"/>
          <w:numId w:val="8"/>
        </w:numPr>
        <w:spacing w:after="60" w:before="60" w:line="276" w:lineRule="auto"/>
        <w:ind w:left="851" w:hanging="142.00000000000003"/>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dichiarazioni, rese da ciascun concorrente aderente all’aggregazione di rete, attestanti:</w:t>
      </w:r>
    </w:p>
    <w:p w:rsidR="00000000" w:rsidDel="00000000" w:rsidP="00000000" w:rsidRDefault="00000000" w:rsidRPr="00000000" w14:paraId="000001DA">
      <w:pPr>
        <w:widowControl w:val="1"/>
        <w:numPr>
          <w:ilvl w:val="3"/>
          <w:numId w:val="11"/>
        </w:numPr>
        <w:spacing w:after="60" w:before="60" w:line="276" w:lineRule="auto"/>
        <w:ind w:left="1276" w:hanging="284.00000000000006"/>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 quale concorrente, in caso di aggiudicazione, sarà conferito mandato speciale con rappresentanza o funzioni di capogruppo;</w:t>
      </w:r>
    </w:p>
    <w:p w:rsidR="00000000" w:rsidDel="00000000" w:rsidP="00000000" w:rsidRDefault="00000000" w:rsidRPr="00000000" w14:paraId="000001DB">
      <w:pPr>
        <w:widowControl w:val="1"/>
        <w:numPr>
          <w:ilvl w:val="3"/>
          <w:numId w:val="11"/>
        </w:numPr>
        <w:spacing w:after="60" w:before="60" w:line="276" w:lineRule="auto"/>
        <w:ind w:left="1276" w:hanging="284.00000000000006"/>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l’impegno, in caso di aggiudicazione, ad uniformarsi alla disciplina vigente in materia di raggruppamenti temporanei;</w:t>
      </w:r>
    </w:p>
    <w:p w:rsidR="00000000" w:rsidDel="00000000" w:rsidP="00000000" w:rsidRDefault="00000000" w:rsidRPr="00000000" w14:paraId="000001DC">
      <w:pPr>
        <w:widowControl w:val="1"/>
        <w:numPr>
          <w:ilvl w:val="3"/>
          <w:numId w:val="11"/>
        </w:numPr>
        <w:spacing w:after="60" w:before="60" w:line="276" w:lineRule="auto"/>
        <w:ind w:left="1276" w:hanging="284.00000000000006"/>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parti del servizio o della fornitura, ovvero la percentuale in caso di servizio/forniture indivisibili, che saranno eseguite dai singoli operatori economici aggregati in rete.</w:t>
      </w:r>
    </w:p>
    <w:p w:rsidR="00000000" w:rsidDel="00000000" w:rsidP="00000000" w:rsidRDefault="00000000" w:rsidRPr="00000000" w14:paraId="000001DD">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2u6wntf" w:id="45"/>
      <w:bookmarkEnd w:id="45"/>
      <w:r w:rsidDel="00000000" w:rsidR="00000000" w:rsidRPr="00000000">
        <w:rPr>
          <w:rFonts w:ascii="Titillium" w:cs="Titillium" w:eastAsia="Titillium" w:hAnsi="Titillium"/>
          <w:b w:val="1"/>
          <w:smallCaps w:val="1"/>
          <w:sz w:val="18"/>
          <w:szCs w:val="18"/>
          <w:rtl w:val="0"/>
        </w:rPr>
        <w:t xml:space="preserve"> OFFERTA TECNICA</w:t>
      </w:r>
      <w:r w:rsidDel="00000000" w:rsidR="00000000" w:rsidRPr="00000000">
        <w:rPr>
          <w:rtl w:val="0"/>
        </w:rPr>
      </w:r>
    </w:p>
    <w:p w:rsidR="00000000" w:rsidDel="00000000" w:rsidP="00000000" w:rsidRDefault="00000000" w:rsidRPr="00000000" w14:paraId="000001DE">
      <w:pPr>
        <w:widowControl w:val="1"/>
        <w:spacing w:line="276" w:lineRule="auto"/>
        <w:jc w:val="both"/>
        <w:rPr>
          <w:rFonts w:ascii="Titillium" w:cs="Titillium" w:eastAsia="Titillium" w:hAnsi="Titillium"/>
          <w:sz w:val="18"/>
          <w:szCs w:val="18"/>
        </w:rPr>
      </w:pPr>
      <w:bookmarkStart w:colFirst="0" w:colLast="0" w:name="_heading=h.19c6y18" w:id="46"/>
      <w:bookmarkEnd w:id="46"/>
      <w:r w:rsidDel="00000000" w:rsidR="00000000" w:rsidRPr="00000000">
        <w:rPr>
          <w:rFonts w:ascii="Titillium" w:cs="Titillium" w:eastAsia="Titillium" w:hAnsi="Titillium"/>
          <w:sz w:val="18"/>
          <w:szCs w:val="18"/>
          <w:rtl w:val="0"/>
        </w:rPr>
        <w:t xml:space="preserve">L’operatore economico inserisce la documentazione relativa all’offerta tecnica nella Piattaforma secondo le modalità indicate al seguente link </w:t>
      </w:r>
      <w:hyperlink r:id="rId21">
        <w:r w:rsidDel="00000000" w:rsidR="00000000" w:rsidRPr="00000000">
          <w:rPr>
            <w:rFonts w:ascii="Titillium" w:cs="Titillium" w:eastAsia="Titillium" w:hAnsi="Titillium"/>
            <w:color w:val="000080"/>
            <w:sz w:val="18"/>
            <w:szCs w:val="18"/>
            <w:u w:val="single"/>
            <w:rtl w:val="0"/>
          </w:rPr>
          <w:t xml:space="preserve">https://sidraspa.acquistitelematici.it/manuali</w:t>
        </w:r>
      </w:hyperlink>
      <w:r w:rsidDel="00000000" w:rsidR="00000000" w:rsidRPr="00000000">
        <w:rPr>
          <w:rFonts w:ascii="Titillium" w:cs="Titillium" w:eastAsia="Titillium" w:hAnsi="Titillium"/>
          <w:sz w:val="18"/>
          <w:szCs w:val="18"/>
          <w:rtl w:val="0"/>
        </w:rPr>
        <w:t xml:space="preserve">,</w:t>
      </w:r>
      <w:r w:rsidDel="00000000" w:rsidR="00000000" w:rsidRPr="00000000">
        <w:rPr>
          <w:rFonts w:ascii="Titillium" w:cs="Titillium" w:eastAsia="Titillium" w:hAnsi="Titillium"/>
          <w:i w:val="1"/>
          <w:sz w:val="18"/>
          <w:szCs w:val="18"/>
          <w:rtl w:val="0"/>
        </w:rPr>
        <w:t xml:space="preserve"> </w:t>
      </w:r>
      <w:r w:rsidDel="00000000" w:rsidR="00000000" w:rsidRPr="00000000">
        <w:rPr>
          <w:rFonts w:ascii="Titillium" w:cs="Titillium" w:eastAsia="Titillium" w:hAnsi="Titillium"/>
          <w:sz w:val="18"/>
          <w:szCs w:val="18"/>
          <w:rtl w:val="0"/>
        </w:rPr>
        <w:t xml:space="preserve">a pena di inammissibilità dell’offerta. L’offerta è firmata secondo le modalità previste al precedente punto  e deve contenere, a pena di esclusione, i seguenti documenti:</w:t>
      </w:r>
    </w:p>
    <w:p w:rsidR="00000000" w:rsidDel="00000000" w:rsidP="00000000" w:rsidRDefault="00000000" w:rsidRPr="00000000" w14:paraId="000001DF">
      <w:pPr>
        <w:widowControl w:val="1"/>
        <w:numPr>
          <w:ilvl w:val="0"/>
          <w:numId w:val="29"/>
        </w:numPr>
        <w:spacing w:after="60" w:before="60" w:line="276" w:lineRule="auto"/>
        <w:ind w:left="709"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relazione tecnica dei servizi/forniture offerti;</w:t>
      </w:r>
      <w:r w:rsidDel="00000000" w:rsidR="00000000" w:rsidRPr="00000000">
        <w:rPr>
          <w:rtl w:val="0"/>
        </w:rPr>
      </w:r>
    </w:p>
    <w:p w:rsidR="00000000" w:rsidDel="00000000" w:rsidP="00000000" w:rsidRDefault="00000000" w:rsidRPr="00000000" w14:paraId="000001E0">
      <w:pPr>
        <w:widowControl w:val="1"/>
        <w:numPr>
          <w:ilvl w:val="0"/>
          <w:numId w:val="29"/>
        </w:numPr>
        <w:spacing w:after="60" w:before="60" w:line="276" w:lineRule="auto"/>
        <w:ind w:left="709"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in caso di avvalimento premiale, contratto di avvalimento;</w:t>
      </w:r>
      <w:r w:rsidDel="00000000" w:rsidR="00000000" w:rsidRPr="00000000">
        <w:rPr>
          <w:rtl w:val="0"/>
        </w:rPr>
      </w:r>
    </w:p>
    <w:p w:rsidR="00000000" w:rsidDel="00000000" w:rsidP="00000000" w:rsidRDefault="00000000" w:rsidRPr="00000000" w14:paraId="000001E1">
      <w:pPr>
        <w:widowControl w:val="1"/>
        <w:numPr>
          <w:ilvl w:val="0"/>
          <w:numId w:val="29"/>
        </w:numPr>
        <w:spacing w:after="60" w:before="60" w:line="276" w:lineRule="auto"/>
        <w:ind w:left="709"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datasheet dei componenti dell’intero sistema proposto.</w:t>
      </w:r>
      <w:r w:rsidDel="00000000" w:rsidR="00000000" w:rsidRPr="00000000">
        <w:rPr>
          <w:rtl w:val="0"/>
        </w:rPr>
      </w:r>
    </w:p>
    <w:p w:rsidR="00000000" w:rsidDel="00000000" w:rsidP="00000000" w:rsidRDefault="00000000" w:rsidRPr="00000000" w14:paraId="000001E2">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relazione contiene una proposta tecnico-organizzativa che illustra, con riferimento ai criteri e sub-criteri di valutazione specificati al successivo paragrafo 18.</w:t>
      </w:r>
    </w:p>
    <w:p w:rsidR="00000000" w:rsidDel="00000000" w:rsidP="00000000" w:rsidRDefault="00000000" w:rsidRPr="00000000" w14:paraId="000001E3">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Dal punto di vista editoriale la relazione tecnica dovrà essere:</w:t>
      </w:r>
    </w:p>
    <w:p w:rsidR="00000000" w:rsidDel="00000000" w:rsidP="00000000" w:rsidRDefault="00000000" w:rsidRPr="00000000" w14:paraId="000001E4">
      <w:pPr>
        <w:widowControl w:val="1"/>
        <w:numPr>
          <w:ilvl w:val="0"/>
          <w:numId w:val="5"/>
        </w:numPr>
        <w:pBdr>
          <w:top w:space="0" w:sz="0" w:val="nil"/>
          <w:left w:space="0" w:sz="0" w:val="nil"/>
          <w:bottom w:space="0" w:sz="0" w:val="nil"/>
          <w:right w:space="0" w:sz="0" w:val="nil"/>
          <w:between w:space="0" w:sz="0" w:val="nil"/>
        </w:pBdr>
        <w:spacing w:after="60" w:before="60" w:line="276" w:lineRule="auto"/>
        <w:ind w:left="72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prodotta su fogli singoli di formato A4, attribuendo una numerazione progressiva ed univoca delle pagine e riportando su ciascuna di essa il numero della pagina ed il numero totale di pagine (ad esempio, Pag. 3 di 15),</w:t>
      </w:r>
    </w:p>
    <w:p w:rsidR="00000000" w:rsidDel="00000000" w:rsidP="00000000" w:rsidRDefault="00000000" w:rsidRPr="00000000" w14:paraId="000001E5">
      <w:pPr>
        <w:widowControl w:val="1"/>
        <w:numPr>
          <w:ilvl w:val="0"/>
          <w:numId w:val="5"/>
        </w:numPr>
        <w:pBdr>
          <w:top w:space="0" w:sz="0" w:val="nil"/>
          <w:left w:space="0" w:sz="0" w:val="nil"/>
          <w:bottom w:space="0" w:sz="0" w:val="nil"/>
          <w:right w:space="0" w:sz="0" w:val="nil"/>
          <w:between w:space="0" w:sz="0" w:val="nil"/>
        </w:pBdr>
        <w:spacing w:after="60" w:before="60" w:line="276" w:lineRule="auto"/>
        <w:ind w:left="72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La formattazione del documento deve rispettare i seguenti limiti:</w:t>
      </w:r>
    </w:p>
    <w:p w:rsidR="00000000" w:rsidDel="00000000" w:rsidP="00000000" w:rsidRDefault="00000000" w:rsidRPr="00000000" w14:paraId="000001E6">
      <w:pPr>
        <w:widowControl w:val="1"/>
        <w:numPr>
          <w:ilvl w:val="1"/>
          <w:numId w:val="5"/>
        </w:numPr>
        <w:pBdr>
          <w:top w:space="0" w:sz="0" w:val="nil"/>
          <w:left w:space="0" w:sz="0" w:val="nil"/>
          <w:bottom w:space="0" w:sz="0" w:val="nil"/>
          <w:right w:space="0" w:sz="0" w:val="nil"/>
          <w:between w:space="0" w:sz="0" w:val="nil"/>
        </w:pBdr>
        <w:spacing w:after="60" w:before="60" w:line="276" w:lineRule="auto"/>
        <w:ind w:left="144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font: Arial;</w:t>
      </w:r>
    </w:p>
    <w:p w:rsidR="00000000" w:rsidDel="00000000" w:rsidP="00000000" w:rsidRDefault="00000000" w:rsidRPr="00000000" w14:paraId="000001E7">
      <w:pPr>
        <w:widowControl w:val="1"/>
        <w:numPr>
          <w:ilvl w:val="1"/>
          <w:numId w:val="5"/>
        </w:numPr>
        <w:pBdr>
          <w:top w:space="0" w:sz="0" w:val="nil"/>
          <w:left w:space="0" w:sz="0" w:val="nil"/>
          <w:bottom w:space="0" w:sz="0" w:val="nil"/>
          <w:right w:space="0" w:sz="0" w:val="nil"/>
          <w:between w:space="0" w:sz="0" w:val="nil"/>
        </w:pBdr>
        <w:spacing w:after="60" w:before="60" w:line="276" w:lineRule="auto"/>
        <w:ind w:left="144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font size: 12;</w:t>
      </w:r>
    </w:p>
    <w:p w:rsidR="00000000" w:rsidDel="00000000" w:rsidP="00000000" w:rsidRDefault="00000000" w:rsidRPr="00000000" w14:paraId="000001E8">
      <w:pPr>
        <w:widowControl w:val="1"/>
        <w:numPr>
          <w:ilvl w:val="1"/>
          <w:numId w:val="5"/>
        </w:numPr>
        <w:pBdr>
          <w:top w:space="0" w:sz="0" w:val="nil"/>
          <w:left w:space="0" w:sz="0" w:val="nil"/>
          <w:bottom w:space="0" w:sz="0" w:val="nil"/>
          <w:right w:space="0" w:sz="0" w:val="nil"/>
          <w:between w:space="0" w:sz="0" w:val="nil"/>
        </w:pBdr>
        <w:spacing w:after="60" w:before="60" w:line="276" w:lineRule="auto"/>
        <w:ind w:left="144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interlinea: 1,5;</w:t>
      </w:r>
    </w:p>
    <w:p w:rsidR="00000000" w:rsidDel="00000000" w:rsidP="00000000" w:rsidRDefault="00000000" w:rsidRPr="00000000" w14:paraId="000001E9">
      <w:pPr>
        <w:widowControl w:val="1"/>
        <w:numPr>
          <w:ilvl w:val="1"/>
          <w:numId w:val="5"/>
        </w:numPr>
        <w:pBdr>
          <w:top w:space="0" w:sz="0" w:val="nil"/>
          <w:left w:space="0" w:sz="0" w:val="nil"/>
          <w:bottom w:space="0" w:sz="0" w:val="nil"/>
          <w:right w:space="0" w:sz="0" w:val="nil"/>
          <w:between w:space="0" w:sz="0" w:val="nil"/>
        </w:pBdr>
        <w:spacing w:after="60" w:before="60" w:line="276" w:lineRule="auto"/>
        <w:ind w:left="144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numero massimo di pagine: 15.</w:t>
      </w:r>
    </w:p>
    <w:p w:rsidR="00000000" w:rsidDel="00000000" w:rsidP="00000000" w:rsidRDefault="00000000" w:rsidRPr="00000000" w14:paraId="000001EA">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L’offerta tecnica deve rispettare, pena l’esclusione dalla procedura di gara, le caratteristiche minime stabilite nei documenti di gara, nel rispetto del principio di equivalenza.</w:t>
      </w:r>
      <w:r w:rsidDel="00000000" w:rsidR="00000000" w:rsidRPr="00000000">
        <w:rPr>
          <w:rtl w:val="0"/>
        </w:rPr>
      </w:r>
    </w:p>
    <w:p w:rsidR="00000000" w:rsidDel="00000000" w:rsidP="00000000" w:rsidRDefault="00000000" w:rsidRPr="00000000" w14:paraId="000001EB">
      <w:pPr>
        <w:widowControl w:val="1"/>
        <w:spacing w:after="60" w:before="60" w:line="276" w:lineRule="auto"/>
        <w:jc w:val="both"/>
        <w:rPr>
          <w:rFonts w:ascii="Titillium" w:cs="Titillium" w:eastAsia="Titillium" w:hAnsi="Titillium"/>
          <w:b w:val="1"/>
          <w:i w:val="1"/>
          <w:sz w:val="18"/>
          <w:szCs w:val="18"/>
        </w:rPr>
      </w:pPr>
      <w:r w:rsidDel="00000000" w:rsidR="00000000" w:rsidRPr="00000000">
        <w:rPr>
          <w:rFonts w:ascii="Titillium" w:cs="Titillium" w:eastAsia="Titillium" w:hAnsi="Titillium"/>
          <w:sz w:val="18"/>
          <w:szCs w:val="18"/>
          <w:rtl w:val="0"/>
        </w:rPr>
        <w:t xml:space="preserve">L’operatore economico che adotta un CCNL diverso da quello indicato all’articolo 3 inserisce la dichiarazione di equivalenze delle tutele e l’eventuale documentazione probatoria sulla equivalenza del proprio CCNL nella sezione della piattaforma relativa all’offerta tecnica</w:t>
      </w:r>
      <w:r w:rsidDel="00000000" w:rsidR="00000000" w:rsidRPr="00000000">
        <w:rPr>
          <w:rFonts w:ascii="Titillium" w:cs="Titillium" w:eastAsia="Titillium" w:hAnsi="Titillium"/>
          <w:b w:val="1"/>
          <w:i w:val="1"/>
          <w:sz w:val="18"/>
          <w:szCs w:val="18"/>
          <w:rtl w:val="0"/>
        </w:rPr>
        <w:t xml:space="preserve">. </w:t>
      </w:r>
    </w:p>
    <w:p w:rsidR="00000000" w:rsidDel="00000000" w:rsidP="00000000" w:rsidRDefault="00000000" w:rsidRPr="00000000" w14:paraId="000001EC">
      <w:pPr>
        <w:widowControl w:val="1"/>
        <w:spacing w:after="60" w:before="60" w:line="276" w:lineRule="auto"/>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L’operatore economico allega una dichiarazione firmata contenente i dettagli dell’offerta coperti da riservatezza, argomentando in modo congruo le ragioni per le quali eventuali parti dell’offerta sono da segretare. Il concorrente a tal fine allega anche una copia firmata della relazione tecnica adeguatamente oscurata nelle parti ritenute costituenti segreti tecnici e commerciali. Resta ferma, la facoltà della stazione appaltante di valutare la fondatezza delle motivazioni addotte e di chiedere al concorrente di dimostrare la tangibile sussistenza di eventuali segreti tecnici e commerciali.</w:t>
      </w:r>
    </w:p>
    <w:p w:rsidR="00000000" w:rsidDel="00000000" w:rsidP="00000000" w:rsidRDefault="00000000" w:rsidRPr="00000000" w14:paraId="000001ED">
      <w:pPr>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EE">
      <w:pPr>
        <w:keepNext w:val="1"/>
        <w:widowControl w:val="1"/>
        <w:numPr>
          <w:ilvl w:val="0"/>
          <w:numId w:val="22"/>
        </w:numPr>
        <w:spacing w:after="120" w:before="560" w:line="276" w:lineRule="auto"/>
        <w:ind w:left="357" w:hanging="357"/>
        <w:jc w:val="both"/>
        <w:rPr>
          <w:rFonts w:ascii="Garamond" w:cs="Garamond" w:eastAsia="Garamond" w:hAnsi="Garamond"/>
          <w:b w:val="1"/>
          <w:smallCaps w:val="1"/>
        </w:rPr>
      </w:pPr>
      <w:bookmarkStart w:colFirst="0" w:colLast="0" w:name="_heading=h.3tbugp1" w:id="47"/>
      <w:bookmarkEnd w:id="47"/>
      <w:r w:rsidDel="00000000" w:rsidR="00000000" w:rsidRPr="00000000">
        <w:rPr>
          <w:rFonts w:ascii="Titillium" w:cs="Titillium" w:eastAsia="Titillium" w:hAnsi="Titillium"/>
          <w:b w:val="1"/>
          <w:smallCaps w:val="1"/>
          <w:sz w:val="18"/>
          <w:szCs w:val="18"/>
          <w:rtl w:val="0"/>
        </w:rPr>
        <w:t xml:space="preserve">OFFERTA ECONOMICA</w:t>
      </w:r>
      <w:r w:rsidDel="00000000" w:rsidR="00000000" w:rsidRPr="00000000">
        <w:rPr>
          <w:rtl w:val="0"/>
        </w:rPr>
      </w:r>
    </w:p>
    <w:p w:rsidR="00000000" w:rsidDel="00000000" w:rsidP="00000000" w:rsidRDefault="00000000" w:rsidRPr="00000000" w14:paraId="000001EF">
      <w:pPr>
        <w:widowControl w:val="1"/>
        <w:spacing w:after="60" w:before="60" w:line="276" w:lineRule="auto"/>
        <w:ind w:hanging="11"/>
        <w:jc w:val="both"/>
        <w:rPr>
          <w:rFonts w:ascii="Garamond" w:cs="Garamond" w:eastAsia="Garamond" w:hAnsi="Garamond"/>
        </w:rPr>
      </w:pPr>
      <w:bookmarkStart w:colFirst="0" w:colLast="0" w:name="_heading=h.28h4qwu" w:id="48"/>
      <w:bookmarkEnd w:id="48"/>
      <w:r w:rsidDel="00000000" w:rsidR="00000000" w:rsidRPr="00000000">
        <w:rPr>
          <w:rFonts w:ascii="Titillium" w:cs="Titillium" w:eastAsia="Titillium" w:hAnsi="Titillium"/>
          <w:sz w:val="18"/>
          <w:szCs w:val="18"/>
          <w:rtl w:val="0"/>
        </w:rPr>
        <w:t xml:space="preserve">L’operatore economico inserisce la documentazione economica, nella Piattaforma secondo le modalità indicate al seguente link </w:t>
      </w:r>
      <w:hyperlink r:id="rId22">
        <w:r w:rsidDel="00000000" w:rsidR="00000000" w:rsidRPr="00000000">
          <w:rPr>
            <w:rFonts w:ascii="Titillium" w:cs="Titillium" w:eastAsia="Titillium" w:hAnsi="Titillium"/>
            <w:color w:val="000080"/>
            <w:sz w:val="18"/>
            <w:szCs w:val="18"/>
            <w:u w:val="single"/>
            <w:rtl w:val="0"/>
          </w:rPr>
          <w:t xml:space="preserve">https://sidraspa.acquistitelematici.it/manuali</w:t>
        </w:r>
      </w:hyperlink>
      <w:r w:rsidDel="00000000" w:rsidR="00000000" w:rsidRPr="00000000">
        <w:rPr>
          <w:rFonts w:ascii="Titillium" w:cs="Titillium" w:eastAsia="Titillium" w:hAnsi="Titillium"/>
          <w:i w:val="1"/>
          <w:sz w:val="18"/>
          <w:szCs w:val="18"/>
          <w:rtl w:val="0"/>
        </w:rPr>
        <w:t xml:space="preserve">.</w:t>
      </w:r>
      <w:r w:rsidDel="00000000" w:rsidR="00000000" w:rsidRPr="00000000">
        <w:rPr>
          <w:rFonts w:ascii="Titillium" w:cs="Titillium" w:eastAsia="Titillium" w:hAnsi="Titillium"/>
          <w:sz w:val="18"/>
          <w:szCs w:val="18"/>
          <w:rtl w:val="0"/>
        </w:rPr>
        <w:t xml:space="preserve"> L’offerta economica firmata secondo le modalità di cui al precedente articolo, deve indicare, a pena di esclusione, i seguenti elementi:</w:t>
      </w:r>
      <w:r w:rsidDel="00000000" w:rsidR="00000000" w:rsidRPr="00000000">
        <w:rPr>
          <w:rtl w:val="0"/>
        </w:rPr>
      </w:r>
    </w:p>
    <w:p w:rsidR="00000000" w:rsidDel="00000000" w:rsidP="00000000" w:rsidRDefault="00000000" w:rsidRPr="00000000" w14:paraId="000001F0">
      <w:pPr>
        <w:widowControl w:val="1"/>
        <w:numPr>
          <w:ilvl w:val="2"/>
          <w:numId w:val="37"/>
        </w:numPr>
        <w:spacing w:after="60" w:before="60" w:line="276" w:lineRule="auto"/>
        <w:ind w:left="284" w:hanging="284"/>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ribasso percentuale unico offerto sull’importo posto a base di gara, al netto di Iva e/o di altre imposte e contributi di legge, verranno prese in considerazione fino a 4</w:t>
      </w:r>
      <w:r w:rsidDel="00000000" w:rsidR="00000000" w:rsidRPr="00000000">
        <w:rPr>
          <w:rFonts w:ascii="Titillium" w:cs="Titillium" w:eastAsia="Titillium" w:hAnsi="Titillium"/>
          <w:i w:val="1"/>
          <w:sz w:val="18"/>
          <w:szCs w:val="18"/>
          <w:rtl w:val="0"/>
        </w:rPr>
        <w:t xml:space="preserve"> </w:t>
      </w:r>
      <w:r w:rsidDel="00000000" w:rsidR="00000000" w:rsidRPr="00000000">
        <w:rPr>
          <w:rFonts w:ascii="Titillium" w:cs="Titillium" w:eastAsia="Titillium" w:hAnsi="Titillium"/>
          <w:sz w:val="18"/>
          <w:szCs w:val="18"/>
          <w:rtl w:val="0"/>
        </w:rPr>
        <w:t xml:space="preserve">cifre decimali;</w:t>
      </w:r>
      <w:r w:rsidDel="00000000" w:rsidR="00000000" w:rsidRPr="00000000">
        <w:rPr>
          <w:rtl w:val="0"/>
        </w:rPr>
      </w:r>
    </w:p>
    <w:p w:rsidR="00000000" w:rsidDel="00000000" w:rsidP="00000000" w:rsidRDefault="00000000" w:rsidRPr="00000000" w14:paraId="000001F1">
      <w:pPr>
        <w:widowControl w:val="1"/>
        <w:numPr>
          <w:ilvl w:val="2"/>
          <w:numId w:val="37"/>
        </w:numPr>
        <w:spacing w:after="60" w:before="60" w:line="276" w:lineRule="auto"/>
        <w:ind w:left="284" w:hanging="284"/>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stima dei costi aziendali relativi alla salute ed alla sicurezza sui luoghi di lavoro; </w:t>
      </w:r>
      <w:r w:rsidDel="00000000" w:rsidR="00000000" w:rsidRPr="00000000">
        <w:rPr>
          <w:rtl w:val="0"/>
        </w:rPr>
      </w:r>
    </w:p>
    <w:p w:rsidR="00000000" w:rsidDel="00000000" w:rsidP="00000000" w:rsidRDefault="00000000" w:rsidRPr="00000000" w14:paraId="000001F2">
      <w:pPr>
        <w:widowControl w:val="1"/>
        <w:spacing w:after="60" w:before="60" w:line="276" w:lineRule="auto"/>
        <w:jc w:val="both"/>
        <w:rPr>
          <w:rFonts w:ascii="Titillium" w:cs="Titillium" w:eastAsia="Titillium" w:hAnsi="Titillium"/>
          <w:i w:val="1"/>
          <w:sz w:val="18"/>
          <w:szCs w:val="18"/>
        </w:rPr>
      </w:pPr>
      <w:r w:rsidDel="00000000" w:rsidR="00000000" w:rsidRPr="00000000">
        <w:rPr>
          <w:rFonts w:ascii="Titillium" w:cs="Titillium" w:eastAsia="Titillium" w:hAnsi="Titillium"/>
          <w:sz w:val="18"/>
          <w:szCs w:val="18"/>
          <w:rtl w:val="0"/>
        </w:rPr>
        <w:t xml:space="preserve">Sono inammissibili le offerte economiche che superino l’importo a base d’asta o che non siano formulate nel rispetto dei prezzi di riferimento indicati al punto 2 del presente disciplinare</w:t>
      </w:r>
      <w:r w:rsidDel="00000000" w:rsidR="00000000" w:rsidRPr="00000000">
        <w:rPr>
          <w:rFonts w:ascii="Titillium" w:cs="Titillium" w:eastAsia="Titillium" w:hAnsi="Titillium"/>
          <w:i w:val="1"/>
          <w:sz w:val="18"/>
          <w:szCs w:val="18"/>
          <w:rtl w:val="0"/>
        </w:rPr>
        <w:t xml:space="preserve">.</w:t>
      </w:r>
    </w:p>
    <w:p w:rsidR="00000000" w:rsidDel="00000000" w:rsidP="00000000" w:rsidRDefault="00000000" w:rsidRPr="00000000" w14:paraId="000001F3">
      <w:pPr>
        <w:keepNext w:val="1"/>
        <w:widowControl w:val="1"/>
        <w:numPr>
          <w:ilvl w:val="0"/>
          <w:numId w:val="22"/>
        </w:numPr>
        <w:spacing w:after="120" w:before="560" w:line="276" w:lineRule="auto"/>
        <w:ind w:left="357" w:hanging="357"/>
        <w:jc w:val="both"/>
        <w:rPr>
          <w:rFonts w:ascii="Titillium" w:cs="Titillium" w:eastAsia="Titillium" w:hAnsi="Titillium"/>
          <w:b w:val="1"/>
          <w:smallCaps w:val="1"/>
          <w:sz w:val="18"/>
          <w:szCs w:val="18"/>
        </w:rPr>
      </w:pPr>
      <w:bookmarkStart w:colFirst="0" w:colLast="0" w:name="_heading=h.nmf14n" w:id="49"/>
      <w:bookmarkEnd w:id="49"/>
      <w:r w:rsidDel="00000000" w:rsidR="00000000" w:rsidRPr="00000000">
        <w:rPr>
          <w:rFonts w:ascii="Titillium" w:cs="Titillium" w:eastAsia="Titillium" w:hAnsi="Titillium"/>
          <w:b w:val="1"/>
          <w:smallCaps w:val="1"/>
          <w:sz w:val="18"/>
          <w:szCs w:val="18"/>
          <w:rtl w:val="0"/>
        </w:rPr>
        <w:t xml:space="preserve">CRITERIO DI AGGIUDICAZIONE</w:t>
      </w:r>
    </w:p>
    <w:p w:rsidR="00000000" w:rsidDel="00000000" w:rsidP="00000000" w:rsidRDefault="00000000" w:rsidRPr="00000000" w14:paraId="000001F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L’appalto è aggiudicato in base al criterio dell’offerta economicamente più vantaggiosa individuata sulla base del miglior rapporto qualità/prezzo.</w:t>
      </w:r>
    </w:p>
    <w:p w:rsidR="00000000" w:rsidDel="00000000" w:rsidP="00000000" w:rsidRDefault="00000000" w:rsidRPr="00000000" w14:paraId="000001F5">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F6">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F7">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1F8">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valutazione dell’offerta tecnica e dell’offerta economica è effettuata in base ai seguenti punteggi:</w:t>
      </w:r>
    </w:p>
    <w:p w:rsidR="00000000" w:rsidDel="00000000" w:rsidP="00000000" w:rsidRDefault="00000000" w:rsidRPr="00000000" w14:paraId="000001F9">
      <w:pPr>
        <w:widowControl w:val="1"/>
        <w:spacing w:after="60" w:before="60" w:line="276" w:lineRule="auto"/>
        <w:jc w:val="both"/>
        <w:rPr>
          <w:rFonts w:ascii="Titillium" w:cs="Titillium" w:eastAsia="Titillium" w:hAnsi="Titillium"/>
          <w:i w:val="1"/>
          <w:sz w:val="18"/>
          <w:szCs w:val="18"/>
        </w:rPr>
      </w:pP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6"/>
        <w:gridCol w:w="4812"/>
        <w:tblGridChange w:id="0">
          <w:tblGrid>
            <w:gridCol w:w="4816"/>
            <w:gridCol w:w="48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A">
            <w:pPr>
              <w:spacing w:after="60" w:before="60" w:line="276" w:lineRule="auto"/>
              <w:jc w:val="both"/>
              <w:rPr>
                <w:rFonts w:ascii="Titillium" w:cs="Titillium" w:eastAsia="Titillium" w:hAnsi="Titillium"/>
                <w:i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B">
            <w:pPr>
              <w:spacing w:after="60" w:before="60" w:line="276" w:lineRule="auto"/>
              <w:jc w:val="center"/>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PUNTEGGIO MASSIMO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C">
            <w:pPr>
              <w:spacing w:after="60" w:before="60" w:line="276" w:lineRule="auto"/>
              <w:jc w:val="center"/>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Offerta tecnica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D">
            <w:pPr>
              <w:spacing w:after="60" w:before="60" w:line="276" w:lineRule="auto"/>
              <w:jc w:val="center"/>
              <w:rPr>
                <w:rFonts w:ascii="Titillium" w:cs="Titillium" w:eastAsia="Titillium" w:hAnsi="Titillium"/>
                <w:b w:val="1"/>
                <w:i w:val="1"/>
                <w:sz w:val="18"/>
                <w:szCs w:val="18"/>
              </w:rPr>
            </w:pPr>
            <w:r w:rsidDel="00000000" w:rsidR="00000000" w:rsidRPr="00000000">
              <w:rPr>
                <w:rFonts w:ascii="Titillium" w:cs="Titillium" w:eastAsia="Titillium" w:hAnsi="Titillium"/>
                <w:b w:val="1"/>
                <w:i w:val="1"/>
                <w:sz w:val="18"/>
                <w:szCs w:val="18"/>
                <w:rtl w:val="0"/>
              </w:rPr>
              <w:t xml:space="preserve">80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 Caratteristiche tecniche dei materiali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spacing w:after="60" w:before="60"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after="60" w:before="6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2. Modalità della fornitura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spacing w:after="60" w:before="60"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after="60" w:before="6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3. Referenze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spacing w:after="60" w:before="60"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after="60" w:before="6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4. Premialità  EX ART. 47 D.L. 77/2021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spacing w:after="60" w:before="60"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06">
            <w:pPr>
              <w:spacing w:after="60" w:before="60" w:line="276" w:lineRule="auto"/>
              <w:jc w:val="center"/>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Offerta economica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07">
            <w:pPr>
              <w:spacing w:after="60" w:before="60" w:line="276" w:lineRule="auto"/>
              <w:jc w:val="center"/>
              <w:rPr>
                <w:rFonts w:ascii="Titillium" w:cs="Titillium" w:eastAsia="Titillium" w:hAnsi="Titillium"/>
                <w:b w:val="1"/>
                <w:i w:val="1"/>
                <w:sz w:val="18"/>
                <w:szCs w:val="18"/>
              </w:rPr>
            </w:pPr>
            <w:r w:rsidDel="00000000" w:rsidR="00000000" w:rsidRPr="00000000">
              <w:rPr>
                <w:rFonts w:ascii="Titillium" w:cs="Titillium" w:eastAsia="Titillium" w:hAnsi="Titillium"/>
                <w:b w:val="1"/>
                <w:i w:val="1"/>
                <w:sz w:val="18"/>
                <w:szCs w:val="18"/>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8">
            <w:pPr>
              <w:spacing w:after="60" w:before="60" w:line="276" w:lineRule="auto"/>
              <w:jc w:val="center"/>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TOTALE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9">
            <w:pPr>
              <w:spacing w:after="60" w:before="60" w:line="276" w:lineRule="auto"/>
              <w:jc w:val="center"/>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100</w:t>
            </w:r>
          </w:p>
        </w:tc>
      </w:tr>
    </w:tbl>
    <w:p w:rsidR="00000000" w:rsidDel="00000000" w:rsidP="00000000" w:rsidRDefault="00000000" w:rsidRPr="00000000" w14:paraId="0000020A">
      <w:pPr>
        <w:rPr>
          <w:rFonts w:ascii="Titillium" w:cs="Titillium" w:eastAsia="Titillium" w:hAnsi="Titillium"/>
          <w:b w:val="1"/>
          <w:sz w:val="18"/>
          <w:szCs w:val="18"/>
        </w:rPr>
      </w:pPr>
      <w:bookmarkStart w:colFirst="0" w:colLast="0" w:name="_heading=h.37m2jsg" w:id="50"/>
      <w:bookmarkEnd w:id="50"/>
      <w:r w:rsidDel="00000000" w:rsidR="00000000" w:rsidRPr="00000000">
        <w:rPr>
          <w:rtl w:val="0"/>
        </w:rPr>
      </w:r>
    </w:p>
    <w:p w:rsidR="00000000" w:rsidDel="00000000" w:rsidP="00000000" w:rsidRDefault="00000000" w:rsidRPr="00000000" w14:paraId="0000020B">
      <w:pPr>
        <w:pStyle w:val="Heading4"/>
        <w:rPr>
          <w:smallCaps w:val="1"/>
        </w:rPr>
      </w:pPr>
      <w:r w:rsidDel="00000000" w:rsidR="00000000" w:rsidRPr="00000000">
        <w:rPr>
          <w:rtl w:val="0"/>
        </w:rPr>
        <w:t xml:space="preserve">CRITERI DI VALUTAZIONE DELL’OFFERTA TECNICA</w:t>
      </w:r>
      <w:r w:rsidDel="00000000" w:rsidR="00000000" w:rsidRPr="00000000">
        <w:rPr>
          <w:rtl w:val="0"/>
        </w:rPr>
      </w:r>
    </w:p>
    <w:p w:rsidR="00000000" w:rsidDel="00000000" w:rsidP="00000000" w:rsidRDefault="00000000" w:rsidRPr="00000000" w14:paraId="0000020C">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punteggio dell’offerta tecnica è attribuito sulla base dei criteri di valutazione elencati nella sottostante tabella con la relativa ripartizione dei punteggi.</w:t>
      </w:r>
    </w:p>
    <w:p w:rsidR="00000000" w:rsidDel="00000000" w:rsidP="00000000" w:rsidRDefault="00000000" w:rsidRPr="00000000" w14:paraId="0000020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Nella colonna identificata con la lettera D vengono indicati i “Punteggi discrezionali”, vale a dire i punteggi il cui coefficiente è attribuito in ragione dell’esercizio della discrezionalità spettante alla commissione giudicatrice.</w:t>
      </w:r>
    </w:p>
    <w:p w:rsidR="00000000" w:rsidDel="00000000" w:rsidP="00000000" w:rsidRDefault="00000000" w:rsidRPr="00000000" w14:paraId="0000020E">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Nella colonna identificata con la lettera Q vengono indicati i “Punteggi quantitativi”, vale a dire i punteggi il cui coefficiente è attribuito mediante applicazione di una formula matematica.</w:t>
      </w:r>
    </w:p>
    <w:p w:rsidR="00000000" w:rsidDel="00000000" w:rsidP="00000000" w:rsidRDefault="00000000" w:rsidRPr="00000000" w14:paraId="0000020F">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Nella colonna identificata dalla lettera T vengono indicati i “Punteggi tabellari”, vale a dire i punteggi fissi e predefiniti che saranno attribuiti o non attribuiti in ragione dell’offerta o mancata offerta di quanto specificamente richiesto. </w:t>
      </w:r>
    </w:p>
    <w:p w:rsidR="00000000" w:rsidDel="00000000" w:rsidP="00000000" w:rsidRDefault="00000000" w:rsidRPr="00000000" w14:paraId="00000210">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211">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212">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213">
      <w:pPr>
        <w:widowControl w:val="1"/>
        <w:spacing w:after="60" w:before="120" w:line="276" w:lineRule="auto"/>
        <w:jc w:val="both"/>
        <w:rPr>
          <w:rFonts w:ascii="Titillium" w:cs="Titillium" w:eastAsia="Titillium" w:hAnsi="Titillium"/>
          <w:b w:val="1"/>
          <w:i w:val="1"/>
          <w:sz w:val="18"/>
          <w:szCs w:val="18"/>
        </w:rPr>
      </w:pPr>
      <w:r w:rsidDel="00000000" w:rsidR="00000000" w:rsidRPr="00000000">
        <w:rPr>
          <w:rFonts w:ascii="Titillium" w:cs="Titillium" w:eastAsia="Titillium" w:hAnsi="Titillium"/>
          <w:b w:val="1"/>
          <w:i w:val="1"/>
          <w:sz w:val="18"/>
          <w:szCs w:val="18"/>
          <w:rtl w:val="0"/>
        </w:rPr>
        <w:t xml:space="preserve">Tabella dei criteri discrezionali (D), quantitativi (Q) e tabellari (T) di valutazione dell’offerta tecnica</w:t>
      </w:r>
    </w:p>
    <w:tbl>
      <w:tblPr>
        <w:tblStyle w:val="Table2"/>
        <w:tblW w:w="92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
        <w:gridCol w:w="1841"/>
        <w:gridCol w:w="962"/>
        <w:gridCol w:w="503"/>
        <w:gridCol w:w="2243"/>
        <w:gridCol w:w="1044"/>
        <w:gridCol w:w="1121"/>
        <w:gridCol w:w="1089"/>
        <w:tblGridChange w:id="0">
          <w:tblGrid>
            <w:gridCol w:w="451"/>
            <w:gridCol w:w="1841"/>
            <w:gridCol w:w="962"/>
            <w:gridCol w:w="503"/>
            <w:gridCol w:w="2243"/>
            <w:gridCol w:w="1044"/>
            <w:gridCol w:w="1121"/>
            <w:gridCol w:w="10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4">
            <w:pPr>
              <w:spacing w:after="60" w:before="60" w:lineRule="auto"/>
              <w:jc w:val="center"/>
              <w:rPr>
                <w:rFonts w:ascii="Titillium" w:cs="Titillium" w:eastAsia="Titillium" w:hAnsi="Titillium"/>
                <w:smallCaps w:val="1"/>
                <w:color w:val="000000"/>
                <w:sz w:val="18"/>
                <w:szCs w:val="18"/>
              </w:rPr>
            </w:pPr>
            <w:r w:rsidDel="00000000" w:rsidR="00000000" w:rsidRPr="00000000">
              <w:rPr>
                <w:rFonts w:ascii="Titillium" w:cs="Titillium" w:eastAsia="Titillium" w:hAnsi="Titillium"/>
                <w:smallCaps w:val="1"/>
                <w:color w:val="000000"/>
                <w:sz w:val="18"/>
                <w:szCs w:val="18"/>
                <w:rtl w:val="0"/>
              </w:rPr>
              <w:t xml:space="preserve">n°</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5">
            <w:pPr>
              <w:spacing w:after="60" w:before="60" w:lineRule="auto"/>
              <w:jc w:val="center"/>
              <w:rPr>
                <w:rFonts w:ascii="Titillium" w:cs="Titillium" w:eastAsia="Titillium" w:hAnsi="Titillium"/>
                <w:smallCaps w:val="1"/>
                <w:sz w:val="18"/>
                <w:szCs w:val="18"/>
              </w:rPr>
            </w:pPr>
            <w:r w:rsidDel="00000000" w:rsidR="00000000" w:rsidRPr="00000000">
              <w:rPr>
                <w:rFonts w:ascii="Titillium" w:cs="Titillium" w:eastAsia="Titillium" w:hAnsi="Titillium"/>
                <w:smallCaps w:val="1"/>
                <w:sz w:val="18"/>
                <w:szCs w:val="18"/>
                <w:rtl w:val="0"/>
              </w:rPr>
              <w:t xml:space="preserve">criteri di valutazione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6">
            <w:pPr>
              <w:spacing w:after="60" w:before="60" w:lineRule="auto"/>
              <w:jc w:val="center"/>
              <w:rPr>
                <w:rFonts w:ascii="Titillium" w:cs="Titillium" w:eastAsia="Titillium" w:hAnsi="Titillium"/>
                <w:smallCaps w:val="1"/>
                <w:color w:val="000000"/>
                <w:sz w:val="18"/>
                <w:szCs w:val="18"/>
              </w:rPr>
            </w:pPr>
            <w:r w:rsidDel="00000000" w:rsidR="00000000" w:rsidRPr="00000000">
              <w:rPr>
                <w:rFonts w:ascii="Titillium" w:cs="Titillium" w:eastAsia="Titillium" w:hAnsi="Titillium"/>
                <w:smallCaps w:val="1"/>
                <w:color w:val="000000"/>
                <w:sz w:val="18"/>
                <w:szCs w:val="18"/>
                <w:rtl w:val="0"/>
              </w:rPr>
              <w:t xml:space="preserve">punti max</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7">
            <w:pPr>
              <w:spacing w:after="60" w:before="60" w:lineRule="auto"/>
              <w:jc w:val="center"/>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8">
            <w:pPr>
              <w:spacing w:after="60" w:before="60" w:lineRule="auto"/>
              <w:jc w:val="center"/>
              <w:rPr>
                <w:rFonts w:ascii="Titillium" w:cs="Titillium" w:eastAsia="Titillium" w:hAnsi="Titillium"/>
                <w:smallCaps w:val="1"/>
                <w:color w:val="000000"/>
                <w:sz w:val="18"/>
                <w:szCs w:val="18"/>
              </w:rPr>
            </w:pPr>
            <w:r w:rsidDel="00000000" w:rsidR="00000000" w:rsidRPr="00000000">
              <w:rPr>
                <w:rFonts w:ascii="Titillium" w:cs="Titillium" w:eastAsia="Titillium" w:hAnsi="Titillium"/>
                <w:smallCaps w:val="1"/>
                <w:color w:val="000000"/>
                <w:sz w:val="18"/>
                <w:szCs w:val="18"/>
                <w:rtl w:val="0"/>
              </w:rPr>
              <w:t xml:space="preserve">sub-criteri di valutazione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9">
            <w:pPr>
              <w:spacing w:after="60" w:before="60" w:lineRule="auto"/>
              <w:jc w:val="center"/>
              <w:rPr>
                <w:rFonts w:ascii="Titillium" w:cs="Titillium" w:eastAsia="Titillium" w:hAnsi="Titillium"/>
                <w:smallCaps w:val="1"/>
                <w:color w:val="000000"/>
                <w:sz w:val="18"/>
                <w:szCs w:val="18"/>
              </w:rPr>
            </w:pPr>
            <w:r w:rsidDel="00000000" w:rsidR="00000000" w:rsidRPr="00000000">
              <w:rPr>
                <w:rFonts w:ascii="Titillium" w:cs="Titillium" w:eastAsia="Titillium" w:hAnsi="Titillium"/>
                <w:smallCaps w:val="1"/>
                <w:color w:val="000000"/>
                <w:sz w:val="18"/>
                <w:szCs w:val="18"/>
                <w:rtl w:val="0"/>
              </w:rPr>
              <w:t xml:space="preserve">punti D max</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A">
            <w:pPr>
              <w:spacing w:after="60" w:before="60" w:lineRule="auto"/>
              <w:jc w:val="center"/>
              <w:rPr>
                <w:rFonts w:ascii="Titillium" w:cs="Titillium" w:eastAsia="Titillium" w:hAnsi="Titillium"/>
                <w:smallCaps w:val="1"/>
                <w:color w:val="000000"/>
                <w:sz w:val="18"/>
                <w:szCs w:val="18"/>
              </w:rPr>
            </w:pPr>
            <w:r w:rsidDel="00000000" w:rsidR="00000000" w:rsidRPr="00000000">
              <w:rPr>
                <w:rFonts w:ascii="Titillium" w:cs="Titillium" w:eastAsia="Titillium" w:hAnsi="Titillium"/>
                <w:smallCaps w:val="1"/>
                <w:color w:val="000000"/>
                <w:sz w:val="18"/>
                <w:szCs w:val="18"/>
                <w:rtl w:val="0"/>
              </w:rPr>
              <w:t xml:space="preserve">punti Q max</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B">
            <w:pPr>
              <w:spacing w:after="60" w:before="60" w:lineRule="auto"/>
              <w:jc w:val="center"/>
              <w:rPr>
                <w:rFonts w:ascii="Titillium" w:cs="Titillium" w:eastAsia="Titillium" w:hAnsi="Titillium"/>
                <w:smallCaps w:val="1"/>
                <w:color w:val="000000"/>
                <w:sz w:val="18"/>
                <w:szCs w:val="18"/>
              </w:rPr>
            </w:pPr>
            <w:r w:rsidDel="00000000" w:rsidR="00000000" w:rsidRPr="00000000">
              <w:rPr>
                <w:rFonts w:ascii="Titillium" w:cs="Titillium" w:eastAsia="Titillium" w:hAnsi="Titillium"/>
                <w:smallCaps w:val="1"/>
                <w:color w:val="000000"/>
                <w:sz w:val="18"/>
                <w:szCs w:val="18"/>
                <w:rtl w:val="0"/>
              </w:rPr>
              <w:t xml:space="preserve">punti T max</w:t>
            </w:r>
          </w:p>
        </w:tc>
      </w:tr>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1C">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1D">
            <w:pPr>
              <w:spacing w:after="60" w:before="60" w:lineRule="auto"/>
              <w:jc w:val="center"/>
              <w:rPr>
                <w:rFonts w:ascii="Garamond" w:cs="Garamond" w:eastAsia="Garamond" w:hAnsi="Garamond"/>
              </w:rPr>
            </w:pPr>
            <w:bookmarkStart w:colFirst="0" w:colLast="0" w:name="_heading=h.3ygebqi" w:id="51"/>
            <w:bookmarkEnd w:id="51"/>
            <w:r w:rsidDel="00000000" w:rsidR="00000000" w:rsidRPr="00000000">
              <w:rPr>
                <w:rFonts w:ascii="Titillium" w:cs="Titillium" w:eastAsia="Titillium" w:hAnsi="Titillium"/>
                <w:sz w:val="18"/>
                <w:szCs w:val="18"/>
                <w:rtl w:val="0"/>
              </w:rPr>
              <w:t xml:space="preserve">Caratteristiche tecniche dei materiali</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1E">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spacing w:after="60" w:before="60" w:lineRule="auto"/>
              <w:jc w:val="both"/>
              <w:rPr>
                <w:rFonts w:ascii="Garamond" w:cs="Garamond" w:eastAsia="Garamond" w:hAnsi="Garamond"/>
              </w:rPr>
            </w:pPr>
            <w:bookmarkStart w:colFirst="0" w:colLast="0" w:name="_heading=h.1664s55" w:id="52"/>
            <w:bookmarkEnd w:id="52"/>
            <w:r w:rsidDel="00000000" w:rsidR="00000000" w:rsidRPr="00000000">
              <w:rPr>
                <w:rFonts w:ascii="Titillium" w:cs="Titillium" w:eastAsia="Titillium" w:hAnsi="Titillium"/>
                <w:sz w:val="18"/>
                <w:szCs w:val="18"/>
                <w:rtl w:val="0"/>
              </w:rPr>
              <w:t xml:space="preserve">Quota produzione europea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10</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spacing w:after="60" w:before="60"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Miglioramento della sicurezza dell’operatore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spacing w:after="60" w:before="60" w:lineRule="auto"/>
              <w:jc w:val="both"/>
              <w:rPr>
                <w:rFonts w:ascii="Titillium" w:cs="Titillium" w:eastAsia="Titillium" w:hAnsi="Titillium"/>
                <w:sz w:val="18"/>
                <w:szCs w:val="18"/>
              </w:rPr>
            </w:pPr>
            <w:bookmarkStart w:colFirst="0" w:colLast="0" w:name="_heading=h.3q5sasy" w:id="53"/>
            <w:bookmarkEnd w:id="53"/>
            <w:r w:rsidDel="00000000" w:rsidR="00000000" w:rsidRPr="00000000">
              <w:rPr>
                <w:rFonts w:ascii="Titillium" w:cs="Titillium" w:eastAsia="Titillium" w:hAnsi="Titillium"/>
                <w:sz w:val="18"/>
                <w:szCs w:val="18"/>
                <w:rtl w:val="0"/>
              </w:rPr>
              <w:t xml:space="preserve">Miglioramento dell’ergonomia di posa o utilizzo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r>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4">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2</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5">
            <w:pPr>
              <w:spacing w:after="60" w:before="60" w:lineRule="auto"/>
              <w:jc w:val="center"/>
              <w:rPr>
                <w:rFonts w:ascii="Garamond" w:cs="Garamond" w:eastAsia="Garamond" w:hAnsi="Garamond"/>
              </w:rPr>
            </w:pPr>
            <w:r w:rsidDel="00000000" w:rsidR="00000000" w:rsidRPr="00000000">
              <w:rPr>
                <w:rFonts w:ascii="Titillium" w:cs="Titillium" w:eastAsia="Titillium" w:hAnsi="Titillium"/>
                <w:sz w:val="18"/>
                <w:szCs w:val="18"/>
                <w:rtl w:val="0"/>
              </w:rPr>
              <w:t xml:space="preserve">Modalità della fornitura</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6">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spacing w:after="60" w:before="60" w:lineRule="auto"/>
              <w:jc w:val="both"/>
              <w:rPr>
                <w:rFonts w:ascii="Titillium" w:cs="Titillium" w:eastAsia="Titillium" w:hAnsi="Titillium"/>
                <w:i w:val="1"/>
                <w:sz w:val="18"/>
                <w:szCs w:val="18"/>
              </w:rPr>
            </w:pPr>
            <w:bookmarkStart w:colFirst="0" w:colLast="0" w:name="_heading=h.1mrcu09" w:id="54"/>
            <w:bookmarkEnd w:id="54"/>
            <w:r w:rsidDel="00000000" w:rsidR="00000000" w:rsidRPr="00000000">
              <w:rPr>
                <w:rFonts w:ascii="Titillium" w:cs="Titillium" w:eastAsia="Titillium" w:hAnsi="Titillium"/>
                <w:sz w:val="18"/>
                <w:szCs w:val="18"/>
                <w:rtl w:val="0"/>
              </w:rPr>
              <w:t xml:space="preserve">Tempi di consegna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15</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F">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0">
            <w:pPr>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Estensione garanzia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3">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15</w:t>
            </w:r>
          </w:p>
        </w:tc>
      </w:tr>
      <w:tr>
        <w:trPr>
          <w:cantSplit w:val="0"/>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44">
            <w:pPr>
              <w:spacing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3</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45">
            <w:pPr>
              <w:spacing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Referenze</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46">
            <w:pPr>
              <w:spacing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Referenze per forniture analoghe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10</w:t>
            </w:r>
          </w:p>
        </w:tc>
      </w:tr>
      <w:tr>
        <w:trPr>
          <w:cantSplit w:val="0"/>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4C">
            <w:pPr>
              <w:spacing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4</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4D">
            <w:pPr>
              <w:spacing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color w:val="000000"/>
                <w:sz w:val="18"/>
                <w:szCs w:val="18"/>
                <w:rtl w:val="0"/>
              </w:rPr>
              <w:t xml:space="preserve">Premialità  EX ART. 47 D.L. 77/2021</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4E">
            <w:pPr>
              <w:spacing w:line="276"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Certificazione della parita’ di genere uni pdr125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2</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Strumenti di conciliazione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2</w:t>
            </w:r>
          </w:p>
        </w:tc>
      </w:tr>
      <w:tr>
        <w:trPr>
          <w:cantSplit w:val="0"/>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4.3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0">
            <w:pPr>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Assenza di verbali di discriminazione di genere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spacing w:after="60" w:before="60" w:lineRule="auto"/>
              <w:jc w:val="center"/>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4">
            <w:pPr>
              <w:spacing w:line="276" w:lineRule="auto"/>
              <w:jc w:val="center"/>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5">
            <w:pPr>
              <w:spacing w:line="276" w:lineRule="auto"/>
              <w:jc w:val="center"/>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6">
            <w:pPr>
              <w:spacing w:line="276" w:lineRule="auto"/>
              <w:jc w:val="center"/>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spacing w:after="60" w:before="60" w:lineRule="auto"/>
              <w:jc w:val="center"/>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8">
            <w:pPr>
              <w:spacing w:after="60" w:before="60" w:line="276" w:lineRule="auto"/>
              <w:jc w:val="both"/>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9">
            <w:pPr>
              <w:spacing w:after="60" w:before="60" w:lineRule="auto"/>
              <w:jc w:val="center"/>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A">
            <w:pPr>
              <w:spacing w:after="60" w:before="60" w:lineRule="auto"/>
              <w:jc w:val="center"/>
              <w:rPr>
                <w:rFonts w:ascii="Titillium" w:cs="Titillium" w:eastAsia="Titillium" w:hAnsi="Titillium"/>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B">
            <w:pPr>
              <w:spacing w:after="60" w:before="60" w:lineRule="auto"/>
              <w:jc w:val="center"/>
              <w:rPr>
                <w:rFonts w:ascii="Titillium" w:cs="Titillium" w:eastAsia="Titillium" w:hAnsi="Titillium"/>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6C">
            <w:pPr>
              <w:spacing w:after="60" w:before="60" w:lineRule="auto"/>
              <w:jc w:val="center"/>
              <w:rPr>
                <w:rFonts w:ascii="Titillium" w:cs="Titillium" w:eastAsia="Titillium" w:hAnsi="Titillium"/>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6D">
            <w:pPr>
              <w:spacing w:after="60" w:before="60" w:lineRule="auto"/>
              <w:jc w:val="center"/>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Totale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6E">
            <w:pPr>
              <w:spacing w:after="60" w:before="60" w:lineRule="auto"/>
              <w:jc w:val="center"/>
              <w:rPr>
                <w:rFonts w:ascii="Titillium" w:cs="Titillium" w:eastAsia="Titillium" w:hAnsi="Titillium"/>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6F">
            <w:pPr>
              <w:spacing w:after="60" w:before="60" w:lineRule="auto"/>
              <w:jc w:val="center"/>
              <w:rPr>
                <w:rFonts w:ascii="Titillium" w:cs="Titillium" w:eastAsia="Titillium" w:hAnsi="Titillium"/>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70">
            <w:pPr>
              <w:spacing w:after="60" w:before="60" w:lineRule="auto"/>
              <w:jc w:val="center"/>
              <w:rPr>
                <w:rFonts w:ascii="Titillium" w:cs="Titillium" w:eastAsia="Titillium" w:hAnsi="Titillium"/>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71">
            <w:pPr>
              <w:spacing w:after="60" w:before="60" w:lineRule="auto"/>
              <w:jc w:val="both"/>
              <w:rPr>
                <w:rFonts w:ascii="Titillium" w:cs="Titillium" w:eastAsia="Titillium" w:hAnsi="Titillium"/>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72">
            <w:pPr>
              <w:spacing w:after="60" w:before="60" w:lineRule="auto"/>
              <w:jc w:val="both"/>
              <w:rPr>
                <w:rFonts w:ascii="Titillium" w:cs="Titillium" w:eastAsia="Titillium" w:hAnsi="Titillium"/>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73">
            <w:pPr>
              <w:spacing w:after="60" w:before="60" w:lineRule="auto"/>
              <w:jc w:val="center"/>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80</w:t>
            </w:r>
          </w:p>
        </w:tc>
      </w:tr>
    </w:tbl>
    <w:p w:rsidR="00000000" w:rsidDel="00000000" w:rsidP="00000000" w:rsidRDefault="00000000" w:rsidRPr="00000000" w14:paraId="00000274">
      <w:pPr>
        <w:widowControl w:val="1"/>
        <w:spacing w:after="60" w:before="12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275">
      <w:pPr>
        <w:widowControl w:val="1"/>
        <w:spacing w:after="60" w:before="12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 CARATTERISTICHE TECNICHE DEI MATERIALI (</w:t>
      </w:r>
      <w:r w:rsidDel="00000000" w:rsidR="00000000" w:rsidRPr="00000000">
        <w:rPr>
          <w:rFonts w:ascii="Titillium" w:cs="Titillium" w:eastAsia="Titillium" w:hAnsi="Titillium"/>
          <w:b w:val="1"/>
          <w:sz w:val="18"/>
          <w:szCs w:val="18"/>
          <w:rtl w:val="0"/>
        </w:rPr>
        <w:t xml:space="preserve">Punti 30</w:t>
      </w:r>
      <w:r w:rsidDel="00000000" w:rsidR="00000000" w:rsidRPr="00000000">
        <w:rPr>
          <w:rFonts w:ascii="Titillium" w:cs="Titillium" w:eastAsia="Titillium" w:hAnsi="Titillium"/>
          <w:sz w:val="18"/>
          <w:szCs w:val="18"/>
          <w:rtl w:val="0"/>
        </w:rPr>
        <w:t xml:space="preserve">)</w:t>
      </w:r>
    </w:p>
    <w:p w:rsidR="00000000" w:rsidDel="00000000" w:rsidP="00000000" w:rsidRDefault="00000000" w:rsidRPr="00000000" w14:paraId="00000276">
      <w:pPr>
        <w:widowControl w:val="1"/>
        <w:numPr>
          <w:ilvl w:val="1"/>
          <w:numId w:val="30"/>
        </w:numPr>
        <w:pBdr>
          <w:top w:space="0" w:sz="0" w:val="nil"/>
          <w:left w:space="0" w:sz="0" w:val="nil"/>
          <w:bottom w:space="0" w:sz="0" w:val="nil"/>
          <w:right w:space="0" w:sz="0" w:val="nil"/>
          <w:between w:space="0" w:sz="0" w:val="nil"/>
        </w:pBdr>
        <w:spacing w:line="276" w:lineRule="auto"/>
        <w:ind w:left="1068"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QUOTA PRODUZIONE COMUNITARIA (</w:t>
      </w:r>
      <w:r w:rsidDel="00000000" w:rsidR="00000000" w:rsidRPr="00000000">
        <w:rPr>
          <w:rFonts w:ascii="Titillium" w:cs="Titillium" w:eastAsia="Titillium" w:hAnsi="Titillium"/>
          <w:b w:val="1"/>
          <w:color w:val="000000"/>
          <w:sz w:val="18"/>
          <w:szCs w:val="18"/>
          <w:rtl w:val="0"/>
        </w:rPr>
        <w:t xml:space="preserve">Punti 10</w:t>
      </w:r>
      <w:r w:rsidDel="00000000" w:rsidR="00000000" w:rsidRPr="00000000">
        <w:rPr>
          <w:rFonts w:ascii="Titillium" w:cs="Titillium" w:eastAsia="Titillium" w:hAnsi="Titillium"/>
          <w:color w:val="000000"/>
          <w:sz w:val="18"/>
          <w:szCs w:val="18"/>
          <w:rtl w:val="0"/>
        </w:rPr>
        <w:t xml:space="preserve"> – Tipo tabellare): Sarà valutato il valore della fornitura di materiali prodotti nella CE.</w:t>
      </w:r>
    </w:p>
    <w:p w:rsidR="00000000" w:rsidDel="00000000" w:rsidP="00000000" w:rsidRDefault="00000000" w:rsidRPr="00000000" w14:paraId="00000277">
      <w:pPr>
        <w:widowControl w:val="1"/>
        <w:pBdr>
          <w:top w:space="0" w:sz="0" w:val="nil"/>
          <w:left w:space="0" w:sz="0" w:val="nil"/>
          <w:bottom w:space="0" w:sz="0" w:val="nil"/>
          <w:right w:space="0" w:sz="0" w:val="nil"/>
          <w:between w:space="0" w:sz="0" w:val="nil"/>
        </w:pBdr>
        <w:spacing w:line="276" w:lineRule="auto"/>
        <w:jc w:val="both"/>
        <w:rPr>
          <w:rFonts w:ascii="Titillium" w:cs="Titillium" w:eastAsia="Titillium" w:hAnsi="Titillium"/>
          <w:color w:val="000000"/>
          <w:sz w:val="18"/>
          <w:szCs w:val="18"/>
        </w:rPr>
      </w:pPr>
      <w:r w:rsidDel="00000000" w:rsidR="00000000" w:rsidRPr="00000000">
        <w:rPr>
          <w:rtl w:val="0"/>
        </w:rPr>
      </w:r>
    </w:p>
    <w:tbl>
      <w:tblPr>
        <w:tblStyle w:val="Table3"/>
        <w:tblW w:w="7852.0" w:type="dxa"/>
        <w:jc w:val="left"/>
        <w:tblInd w:w="177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03"/>
        <w:gridCol w:w="3949"/>
        <w:tblGridChange w:id="0">
          <w:tblGrid>
            <w:gridCol w:w="3903"/>
            <w:gridCol w:w="3949"/>
          </w:tblGrid>
        </w:tblGridChange>
      </w:tblGrid>
      <w:tr>
        <w:trPr>
          <w:cantSplit w:val="0"/>
          <w:tblHeader w:val="0"/>
        </w:trPr>
        <w:tc>
          <w:tcPr/>
          <w:p w:rsidR="00000000" w:rsidDel="00000000" w:rsidP="00000000" w:rsidRDefault="00000000" w:rsidRPr="00000000" w14:paraId="00000278">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0</w:t>
            </w:r>
          </w:p>
        </w:tc>
        <w:tc>
          <w:tcPr/>
          <w:p w:rsidR="00000000" w:rsidDel="00000000" w:rsidP="00000000" w:rsidRDefault="00000000" w:rsidRPr="00000000" w14:paraId="00000279">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V (Valore) = 50%</w:t>
            </w:r>
          </w:p>
        </w:tc>
      </w:tr>
      <w:tr>
        <w:trPr>
          <w:cantSplit w:val="0"/>
          <w:tblHeader w:val="0"/>
        </w:trPr>
        <w:tc>
          <w:tcPr/>
          <w:p w:rsidR="00000000" w:rsidDel="00000000" w:rsidP="00000000" w:rsidRDefault="00000000" w:rsidRPr="00000000" w14:paraId="0000027A">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5</w:t>
            </w:r>
          </w:p>
        </w:tc>
        <w:tc>
          <w:tcPr/>
          <w:p w:rsidR="00000000" w:rsidDel="00000000" w:rsidP="00000000" w:rsidRDefault="00000000" w:rsidRPr="00000000" w14:paraId="0000027B">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50 % &lt; V &lt; =60 %</w:t>
            </w:r>
          </w:p>
        </w:tc>
      </w:tr>
      <w:tr>
        <w:trPr>
          <w:cantSplit w:val="0"/>
          <w:tblHeader w:val="0"/>
        </w:trPr>
        <w:tc>
          <w:tcPr/>
          <w:p w:rsidR="00000000" w:rsidDel="00000000" w:rsidP="00000000" w:rsidRDefault="00000000" w:rsidRPr="00000000" w14:paraId="0000027C">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10</w:t>
            </w:r>
          </w:p>
        </w:tc>
        <w:tc>
          <w:tcPr/>
          <w:p w:rsidR="00000000" w:rsidDel="00000000" w:rsidP="00000000" w:rsidRDefault="00000000" w:rsidRPr="00000000" w14:paraId="0000027D">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60 % &lt; V &lt; =70 %</w:t>
            </w:r>
          </w:p>
        </w:tc>
      </w:tr>
      <w:tr>
        <w:trPr>
          <w:cantSplit w:val="0"/>
          <w:tblHeader w:val="0"/>
        </w:trPr>
        <w:tc>
          <w:tcPr/>
          <w:p w:rsidR="00000000" w:rsidDel="00000000" w:rsidP="00000000" w:rsidRDefault="00000000" w:rsidRPr="00000000" w14:paraId="0000027E">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15</w:t>
            </w:r>
          </w:p>
        </w:tc>
        <w:tc>
          <w:tcPr/>
          <w:p w:rsidR="00000000" w:rsidDel="00000000" w:rsidP="00000000" w:rsidRDefault="00000000" w:rsidRPr="00000000" w14:paraId="0000027F">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70 % &lt; V &lt; =80 %</w:t>
            </w:r>
          </w:p>
        </w:tc>
      </w:tr>
      <w:tr>
        <w:trPr>
          <w:cantSplit w:val="0"/>
          <w:tblHeader w:val="0"/>
        </w:trPr>
        <w:tc>
          <w:tcPr/>
          <w:p w:rsidR="00000000" w:rsidDel="00000000" w:rsidP="00000000" w:rsidRDefault="00000000" w:rsidRPr="00000000" w14:paraId="00000280">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20</w:t>
            </w:r>
          </w:p>
        </w:tc>
        <w:tc>
          <w:tcPr/>
          <w:p w:rsidR="00000000" w:rsidDel="00000000" w:rsidP="00000000" w:rsidRDefault="00000000" w:rsidRPr="00000000" w14:paraId="00000281">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80 % &lt; V &lt; =90 %</w:t>
            </w:r>
          </w:p>
        </w:tc>
      </w:tr>
      <w:tr>
        <w:trPr>
          <w:cantSplit w:val="0"/>
          <w:tblHeader w:val="0"/>
        </w:trPr>
        <w:tc>
          <w:tcPr/>
          <w:p w:rsidR="00000000" w:rsidDel="00000000" w:rsidP="00000000" w:rsidRDefault="00000000" w:rsidRPr="00000000" w14:paraId="00000282">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30</w:t>
            </w:r>
          </w:p>
        </w:tc>
        <w:tc>
          <w:tcPr/>
          <w:p w:rsidR="00000000" w:rsidDel="00000000" w:rsidP="00000000" w:rsidRDefault="00000000" w:rsidRPr="00000000" w14:paraId="00000283">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V = 100%</w:t>
            </w:r>
          </w:p>
        </w:tc>
      </w:tr>
    </w:tbl>
    <w:p w:rsidR="00000000" w:rsidDel="00000000" w:rsidP="00000000" w:rsidRDefault="00000000" w:rsidRPr="00000000" w14:paraId="00000284">
      <w:pPr>
        <w:widowControl w:val="1"/>
        <w:pBdr>
          <w:top w:space="0" w:sz="0" w:val="nil"/>
          <w:left w:space="0" w:sz="0" w:val="nil"/>
          <w:bottom w:space="0" w:sz="0" w:val="nil"/>
          <w:right w:space="0" w:sz="0" w:val="nil"/>
          <w:between w:space="0" w:sz="0" w:val="nil"/>
        </w:pBdr>
        <w:spacing w:line="276" w:lineRule="auto"/>
        <w:jc w:val="both"/>
        <w:rPr>
          <w:rFonts w:ascii="Titillium" w:cs="Titillium" w:eastAsia="Titillium" w:hAnsi="Titillium"/>
          <w:color w:val="000000"/>
          <w:sz w:val="18"/>
          <w:szCs w:val="18"/>
        </w:rPr>
      </w:pPr>
      <w:r w:rsidDel="00000000" w:rsidR="00000000" w:rsidRPr="00000000">
        <w:rPr>
          <w:rtl w:val="0"/>
        </w:rPr>
      </w:r>
    </w:p>
    <w:p w:rsidR="00000000" w:rsidDel="00000000" w:rsidP="00000000" w:rsidRDefault="00000000" w:rsidRPr="00000000" w14:paraId="00000285">
      <w:pPr>
        <w:widowControl w:val="1"/>
        <w:numPr>
          <w:ilvl w:val="1"/>
          <w:numId w:val="30"/>
        </w:numPr>
        <w:pBdr>
          <w:top w:space="0" w:sz="0" w:val="nil"/>
          <w:left w:space="0" w:sz="0" w:val="nil"/>
          <w:bottom w:space="0" w:sz="0" w:val="nil"/>
          <w:right w:space="0" w:sz="0" w:val="nil"/>
          <w:between w:space="0" w:sz="0" w:val="nil"/>
        </w:pBdr>
        <w:spacing w:after="60" w:before="120" w:line="276" w:lineRule="auto"/>
        <w:ind w:left="1068"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MIGLIORAMENTO DELLA SICUREZZA DELL’OPERATORE (</w:t>
      </w:r>
      <w:r w:rsidDel="00000000" w:rsidR="00000000" w:rsidRPr="00000000">
        <w:rPr>
          <w:rFonts w:ascii="Titillium" w:cs="Titillium" w:eastAsia="Titillium" w:hAnsi="Titillium"/>
          <w:b w:val="1"/>
          <w:color w:val="000000"/>
          <w:sz w:val="18"/>
          <w:szCs w:val="18"/>
          <w:rtl w:val="0"/>
        </w:rPr>
        <w:t xml:space="preserve">Punti 10</w:t>
      </w:r>
      <w:r w:rsidDel="00000000" w:rsidR="00000000" w:rsidRPr="00000000">
        <w:rPr>
          <w:rFonts w:ascii="Titillium" w:cs="Titillium" w:eastAsia="Titillium" w:hAnsi="Titillium"/>
          <w:color w:val="000000"/>
          <w:sz w:val="18"/>
          <w:szCs w:val="18"/>
          <w:rtl w:val="0"/>
        </w:rPr>
        <w:t xml:space="preserve"> – Tipo discrezionale): Saranno valutate proposte di prodotti migliorativi a parità di costo in grado di abbattere il rischio elettrico dell’operatore e/o manutentore.</w:t>
      </w:r>
    </w:p>
    <w:p w:rsidR="00000000" w:rsidDel="00000000" w:rsidP="00000000" w:rsidRDefault="00000000" w:rsidRPr="00000000" w14:paraId="00000286">
      <w:pPr>
        <w:widowControl w:val="1"/>
        <w:numPr>
          <w:ilvl w:val="1"/>
          <w:numId w:val="30"/>
        </w:numPr>
        <w:pBdr>
          <w:top w:space="0" w:sz="0" w:val="nil"/>
          <w:left w:space="0" w:sz="0" w:val="nil"/>
          <w:bottom w:space="0" w:sz="0" w:val="nil"/>
          <w:right w:space="0" w:sz="0" w:val="nil"/>
          <w:between w:space="0" w:sz="0" w:val="nil"/>
        </w:pBdr>
        <w:spacing w:after="60" w:before="120" w:line="276" w:lineRule="auto"/>
        <w:ind w:left="1068" w:hanging="360"/>
        <w:jc w:val="both"/>
        <w:rPr>
          <w:rFonts w:ascii="Titillium" w:cs="Titillium" w:eastAsia="Titillium" w:hAnsi="Titillium"/>
          <w:color w:val="000000"/>
          <w:sz w:val="18"/>
          <w:szCs w:val="18"/>
        </w:rPr>
      </w:pPr>
      <w:bookmarkStart w:colFirst="0" w:colLast="0" w:name="_heading=h.25b2l0r" w:id="55"/>
      <w:bookmarkEnd w:id="55"/>
      <w:r w:rsidDel="00000000" w:rsidR="00000000" w:rsidRPr="00000000">
        <w:rPr>
          <w:rFonts w:ascii="Titillium" w:cs="Titillium" w:eastAsia="Titillium" w:hAnsi="Titillium"/>
          <w:color w:val="000000"/>
          <w:sz w:val="18"/>
          <w:szCs w:val="18"/>
          <w:rtl w:val="0"/>
        </w:rPr>
        <w:t xml:space="preserve">MIGLIORAMENTO DELL’ERGONOMIA DI POSA O UTILIZZO (</w:t>
      </w:r>
      <w:r w:rsidDel="00000000" w:rsidR="00000000" w:rsidRPr="00000000">
        <w:rPr>
          <w:rFonts w:ascii="Titillium" w:cs="Titillium" w:eastAsia="Titillium" w:hAnsi="Titillium"/>
          <w:b w:val="1"/>
          <w:color w:val="000000"/>
          <w:sz w:val="18"/>
          <w:szCs w:val="18"/>
          <w:rtl w:val="0"/>
        </w:rPr>
        <w:t xml:space="preserve">Punti 10</w:t>
      </w:r>
      <w:r w:rsidDel="00000000" w:rsidR="00000000" w:rsidRPr="00000000">
        <w:rPr>
          <w:rFonts w:ascii="Titillium" w:cs="Titillium" w:eastAsia="Titillium" w:hAnsi="Titillium"/>
          <w:color w:val="000000"/>
          <w:sz w:val="18"/>
          <w:szCs w:val="18"/>
          <w:rtl w:val="0"/>
        </w:rPr>
        <w:t xml:space="preserve"> – Tipo discrezionale): Saranno valutate proposte di prodotti migliorativi a parità di costo in grado di migliorare l’ergonomia dell’operatore e/o manutentore.</w:t>
      </w:r>
    </w:p>
    <w:p w:rsidR="00000000" w:rsidDel="00000000" w:rsidP="00000000" w:rsidRDefault="00000000" w:rsidRPr="00000000" w14:paraId="00000287">
      <w:pPr>
        <w:spacing w:after="60" w:before="120" w:lineRule="auto"/>
        <w:ind w:left="1776" w:firstLine="0"/>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288">
      <w:pPr>
        <w:widowControl w:val="1"/>
        <w:numPr>
          <w:ilvl w:val="0"/>
          <w:numId w:val="30"/>
        </w:numPr>
        <w:pBdr>
          <w:top w:space="0" w:sz="0" w:val="nil"/>
          <w:left w:space="0" w:sz="0" w:val="nil"/>
          <w:bottom w:space="0" w:sz="0" w:val="nil"/>
          <w:right w:space="0" w:sz="0" w:val="nil"/>
          <w:between w:space="0" w:sz="0" w:val="nil"/>
        </w:pBdr>
        <w:spacing w:after="60" w:before="120" w:line="276" w:lineRule="auto"/>
        <w:ind w:left="36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MODALITÀ DELLA FORNITURA (</w:t>
      </w:r>
      <w:r w:rsidDel="00000000" w:rsidR="00000000" w:rsidRPr="00000000">
        <w:rPr>
          <w:rFonts w:ascii="Titillium" w:cs="Titillium" w:eastAsia="Titillium" w:hAnsi="Titillium"/>
          <w:b w:val="1"/>
          <w:color w:val="000000"/>
          <w:sz w:val="18"/>
          <w:szCs w:val="18"/>
          <w:rtl w:val="0"/>
        </w:rPr>
        <w:t xml:space="preserve">Punti 30</w:t>
      </w:r>
      <w:r w:rsidDel="00000000" w:rsidR="00000000" w:rsidRPr="00000000">
        <w:rPr>
          <w:rFonts w:ascii="Titillium" w:cs="Titillium" w:eastAsia="Titillium" w:hAnsi="Titillium"/>
          <w:color w:val="000000"/>
          <w:sz w:val="18"/>
          <w:szCs w:val="18"/>
          <w:rtl w:val="0"/>
        </w:rPr>
        <w:t xml:space="preserve">)</w:t>
      </w:r>
    </w:p>
    <w:p w:rsidR="00000000" w:rsidDel="00000000" w:rsidP="00000000" w:rsidRDefault="00000000" w:rsidRPr="00000000" w14:paraId="00000289">
      <w:pPr>
        <w:widowControl w:val="1"/>
        <w:numPr>
          <w:ilvl w:val="1"/>
          <w:numId w:val="30"/>
        </w:numPr>
        <w:pBdr>
          <w:top w:space="0" w:sz="0" w:val="nil"/>
          <w:left w:space="0" w:sz="0" w:val="nil"/>
          <w:bottom w:space="0" w:sz="0" w:val="nil"/>
          <w:right w:space="0" w:sz="0" w:val="nil"/>
          <w:between w:space="0" w:sz="0" w:val="nil"/>
        </w:pBdr>
        <w:spacing w:after="60" w:before="120" w:line="276" w:lineRule="auto"/>
        <w:ind w:left="1068"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TEMPI DI CONSEGNA (</w:t>
      </w:r>
      <w:r w:rsidDel="00000000" w:rsidR="00000000" w:rsidRPr="00000000">
        <w:rPr>
          <w:rFonts w:ascii="Titillium" w:cs="Titillium" w:eastAsia="Titillium" w:hAnsi="Titillium"/>
          <w:b w:val="1"/>
          <w:color w:val="000000"/>
          <w:sz w:val="18"/>
          <w:szCs w:val="18"/>
          <w:rtl w:val="0"/>
        </w:rPr>
        <w:t xml:space="preserve">Punti  15 </w:t>
      </w:r>
      <w:r w:rsidDel="00000000" w:rsidR="00000000" w:rsidRPr="00000000">
        <w:rPr>
          <w:rFonts w:ascii="Titillium" w:cs="Titillium" w:eastAsia="Titillium" w:hAnsi="Titillium"/>
          <w:color w:val="000000"/>
          <w:sz w:val="18"/>
          <w:szCs w:val="18"/>
          <w:rtl w:val="0"/>
        </w:rPr>
        <w:t xml:space="preserve">– Tipo tabellare): Saranno valutato l’impegno dell’operatore a ridurre i tempi di consegna in giorni solari. </w:t>
      </w:r>
    </w:p>
    <w:tbl>
      <w:tblPr>
        <w:tblStyle w:val="Table4"/>
        <w:tblW w:w="7852.0" w:type="dxa"/>
        <w:jc w:val="left"/>
        <w:tblInd w:w="177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37"/>
        <w:gridCol w:w="3915"/>
        <w:tblGridChange w:id="0">
          <w:tblGrid>
            <w:gridCol w:w="3937"/>
            <w:gridCol w:w="3915"/>
          </w:tblGrid>
        </w:tblGridChange>
      </w:tblGrid>
      <w:tr>
        <w:trPr>
          <w:cantSplit w:val="0"/>
          <w:tblHeader w:val="0"/>
        </w:trPr>
        <w:tc>
          <w:tcPr/>
          <w:p w:rsidR="00000000" w:rsidDel="00000000" w:rsidP="00000000" w:rsidRDefault="00000000" w:rsidRPr="00000000" w14:paraId="0000028A">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0</w:t>
            </w:r>
          </w:p>
        </w:tc>
        <w:tc>
          <w:tcPr/>
          <w:p w:rsidR="00000000" w:rsidDel="00000000" w:rsidP="00000000" w:rsidRDefault="00000000" w:rsidRPr="00000000" w14:paraId="0000028B">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GG = 180</w:t>
            </w:r>
          </w:p>
        </w:tc>
      </w:tr>
      <w:tr>
        <w:trPr>
          <w:cantSplit w:val="0"/>
          <w:tblHeader w:val="0"/>
        </w:trPr>
        <w:tc>
          <w:tcPr/>
          <w:p w:rsidR="00000000" w:rsidDel="00000000" w:rsidP="00000000" w:rsidRDefault="00000000" w:rsidRPr="00000000" w14:paraId="0000028C">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7</w:t>
            </w:r>
          </w:p>
        </w:tc>
        <w:tc>
          <w:tcPr/>
          <w:p w:rsidR="00000000" w:rsidDel="00000000" w:rsidP="00000000" w:rsidRDefault="00000000" w:rsidRPr="00000000" w14:paraId="0000028D">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90 &lt; GG &lt; 180</w:t>
            </w:r>
          </w:p>
        </w:tc>
      </w:tr>
      <w:tr>
        <w:trPr>
          <w:cantSplit w:val="0"/>
          <w:tblHeader w:val="0"/>
        </w:trPr>
        <w:tc>
          <w:tcPr/>
          <w:p w:rsidR="00000000" w:rsidDel="00000000" w:rsidP="00000000" w:rsidRDefault="00000000" w:rsidRPr="00000000" w14:paraId="0000028E">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15</w:t>
            </w:r>
          </w:p>
        </w:tc>
        <w:tc>
          <w:tcPr/>
          <w:p w:rsidR="00000000" w:rsidDel="00000000" w:rsidP="00000000" w:rsidRDefault="00000000" w:rsidRPr="00000000" w14:paraId="0000028F">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GG &lt;= 90 </w:t>
            </w:r>
          </w:p>
        </w:tc>
      </w:tr>
    </w:tbl>
    <w:p w:rsidR="00000000" w:rsidDel="00000000" w:rsidP="00000000" w:rsidRDefault="00000000" w:rsidRPr="00000000" w14:paraId="00000290">
      <w:pPr>
        <w:widowControl w:val="1"/>
        <w:numPr>
          <w:ilvl w:val="1"/>
          <w:numId w:val="30"/>
        </w:numPr>
        <w:pBdr>
          <w:top w:space="0" w:sz="0" w:val="nil"/>
          <w:left w:space="0" w:sz="0" w:val="nil"/>
          <w:bottom w:space="0" w:sz="0" w:val="nil"/>
          <w:right w:space="0" w:sz="0" w:val="nil"/>
          <w:between w:space="0" w:sz="0" w:val="nil"/>
        </w:pBdr>
        <w:spacing w:after="60" w:before="120" w:line="276" w:lineRule="auto"/>
        <w:ind w:left="1068"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ESTENSIONE GARANZIA (</w:t>
      </w:r>
      <w:r w:rsidDel="00000000" w:rsidR="00000000" w:rsidRPr="00000000">
        <w:rPr>
          <w:rFonts w:ascii="Titillium" w:cs="Titillium" w:eastAsia="Titillium" w:hAnsi="Titillium"/>
          <w:b w:val="1"/>
          <w:color w:val="000000"/>
          <w:sz w:val="18"/>
          <w:szCs w:val="18"/>
          <w:rtl w:val="0"/>
        </w:rPr>
        <w:t xml:space="preserve">Punti 15  </w:t>
      </w:r>
      <w:r w:rsidDel="00000000" w:rsidR="00000000" w:rsidRPr="00000000">
        <w:rPr>
          <w:rFonts w:ascii="Titillium" w:cs="Titillium" w:eastAsia="Titillium" w:hAnsi="Titillium"/>
          <w:color w:val="000000"/>
          <w:sz w:val="18"/>
          <w:szCs w:val="18"/>
          <w:rtl w:val="0"/>
        </w:rPr>
        <w:t xml:space="preserve">– Tipo tabellare): Sarà valutato l’impegno ad estendere la garanzia dai difetti di produzione dei prodotti offerti. </w:t>
      </w:r>
    </w:p>
    <w:tbl>
      <w:tblPr>
        <w:tblStyle w:val="Table5"/>
        <w:tblW w:w="7852.0" w:type="dxa"/>
        <w:jc w:val="left"/>
        <w:tblInd w:w="177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28"/>
        <w:gridCol w:w="3924"/>
        <w:tblGridChange w:id="0">
          <w:tblGrid>
            <w:gridCol w:w="3928"/>
            <w:gridCol w:w="3924"/>
          </w:tblGrid>
        </w:tblGridChange>
      </w:tblGrid>
      <w:tr>
        <w:trPr>
          <w:cantSplit w:val="0"/>
          <w:tblHeader w:val="0"/>
        </w:trPr>
        <w:tc>
          <w:tcPr/>
          <w:p w:rsidR="00000000" w:rsidDel="00000000" w:rsidP="00000000" w:rsidRDefault="00000000" w:rsidRPr="00000000" w14:paraId="00000291">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0</w:t>
            </w:r>
          </w:p>
        </w:tc>
        <w:tc>
          <w:tcPr/>
          <w:p w:rsidR="00000000" w:rsidDel="00000000" w:rsidP="00000000" w:rsidRDefault="00000000" w:rsidRPr="00000000" w14:paraId="00000292">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A(ANNI ESTENSIONE) = 0</w:t>
            </w:r>
          </w:p>
        </w:tc>
      </w:tr>
      <w:tr>
        <w:trPr>
          <w:cantSplit w:val="0"/>
          <w:tblHeader w:val="0"/>
        </w:trPr>
        <w:tc>
          <w:tcPr/>
          <w:p w:rsidR="00000000" w:rsidDel="00000000" w:rsidP="00000000" w:rsidRDefault="00000000" w:rsidRPr="00000000" w14:paraId="00000293">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5</w:t>
            </w:r>
          </w:p>
        </w:tc>
        <w:tc>
          <w:tcPr/>
          <w:p w:rsidR="00000000" w:rsidDel="00000000" w:rsidP="00000000" w:rsidRDefault="00000000" w:rsidRPr="00000000" w14:paraId="00000294">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0 &lt; A &lt;= 2</w:t>
            </w:r>
          </w:p>
        </w:tc>
      </w:tr>
      <w:tr>
        <w:trPr>
          <w:cantSplit w:val="0"/>
          <w:tblHeader w:val="0"/>
        </w:trPr>
        <w:tc>
          <w:tcPr/>
          <w:p w:rsidR="00000000" w:rsidDel="00000000" w:rsidP="00000000" w:rsidRDefault="00000000" w:rsidRPr="00000000" w14:paraId="00000295">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10</w:t>
            </w:r>
          </w:p>
        </w:tc>
        <w:tc>
          <w:tcPr/>
          <w:p w:rsidR="00000000" w:rsidDel="00000000" w:rsidP="00000000" w:rsidRDefault="00000000" w:rsidRPr="00000000" w14:paraId="00000296">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2 &lt; A &lt;= 4</w:t>
            </w:r>
          </w:p>
        </w:tc>
      </w:tr>
      <w:tr>
        <w:trPr>
          <w:cantSplit w:val="0"/>
          <w:tblHeader w:val="0"/>
        </w:trPr>
        <w:tc>
          <w:tcPr/>
          <w:p w:rsidR="00000000" w:rsidDel="00000000" w:rsidP="00000000" w:rsidRDefault="00000000" w:rsidRPr="00000000" w14:paraId="00000297">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15</w:t>
            </w:r>
          </w:p>
        </w:tc>
        <w:tc>
          <w:tcPr/>
          <w:p w:rsidR="00000000" w:rsidDel="00000000" w:rsidP="00000000" w:rsidRDefault="00000000" w:rsidRPr="00000000" w14:paraId="00000298">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4 &lt; A</w:t>
            </w:r>
          </w:p>
        </w:tc>
      </w:tr>
    </w:tbl>
    <w:p w:rsidR="00000000" w:rsidDel="00000000" w:rsidP="00000000" w:rsidRDefault="00000000" w:rsidRPr="00000000" w14:paraId="00000299">
      <w:pPr>
        <w:widowControl w:val="1"/>
        <w:pBdr>
          <w:top w:space="0" w:sz="0" w:val="nil"/>
          <w:left w:space="0" w:sz="0" w:val="nil"/>
          <w:bottom w:space="0" w:sz="0" w:val="nil"/>
          <w:right w:space="0" w:sz="0" w:val="nil"/>
          <w:between w:space="0" w:sz="0" w:val="nil"/>
        </w:pBdr>
        <w:spacing w:after="60" w:before="120" w:line="276" w:lineRule="auto"/>
        <w:jc w:val="both"/>
        <w:rPr>
          <w:rFonts w:ascii="Titillium" w:cs="Titillium" w:eastAsia="Titillium" w:hAnsi="Titillium"/>
          <w:color w:val="000000"/>
          <w:sz w:val="18"/>
          <w:szCs w:val="18"/>
        </w:rPr>
      </w:pPr>
      <w:r w:rsidDel="00000000" w:rsidR="00000000" w:rsidRPr="00000000">
        <w:rPr>
          <w:rtl w:val="0"/>
        </w:rPr>
      </w:r>
    </w:p>
    <w:p w:rsidR="00000000" w:rsidDel="00000000" w:rsidP="00000000" w:rsidRDefault="00000000" w:rsidRPr="00000000" w14:paraId="0000029A">
      <w:pPr>
        <w:widowControl w:val="1"/>
        <w:numPr>
          <w:ilvl w:val="0"/>
          <w:numId w:val="30"/>
        </w:numPr>
        <w:pBdr>
          <w:top w:space="0" w:sz="0" w:val="nil"/>
          <w:left w:space="0" w:sz="0" w:val="nil"/>
          <w:bottom w:space="0" w:sz="0" w:val="nil"/>
          <w:right w:space="0" w:sz="0" w:val="nil"/>
          <w:between w:space="0" w:sz="0" w:val="nil"/>
        </w:pBdr>
        <w:spacing w:after="60" w:before="120" w:line="276" w:lineRule="auto"/>
        <w:ind w:left="36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REFERENZE (</w:t>
      </w:r>
      <w:r w:rsidDel="00000000" w:rsidR="00000000" w:rsidRPr="00000000">
        <w:rPr>
          <w:rFonts w:ascii="Titillium" w:cs="Titillium" w:eastAsia="Titillium" w:hAnsi="Titillium"/>
          <w:b w:val="1"/>
          <w:color w:val="000000"/>
          <w:sz w:val="18"/>
          <w:szCs w:val="18"/>
          <w:rtl w:val="0"/>
        </w:rPr>
        <w:t xml:space="preserve">Punti 14</w:t>
      </w:r>
      <w:r w:rsidDel="00000000" w:rsidR="00000000" w:rsidRPr="00000000">
        <w:rPr>
          <w:rFonts w:ascii="Titillium" w:cs="Titillium" w:eastAsia="Titillium" w:hAnsi="Titillium"/>
          <w:color w:val="000000"/>
          <w:sz w:val="18"/>
          <w:szCs w:val="18"/>
          <w:rtl w:val="0"/>
        </w:rPr>
        <w:t xml:space="preserve">)</w:t>
      </w:r>
    </w:p>
    <w:p w:rsidR="00000000" w:rsidDel="00000000" w:rsidP="00000000" w:rsidRDefault="00000000" w:rsidRPr="00000000" w14:paraId="0000029B">
      <w:pPr>
        <w:widowControl w:val="1"/>
        <w:numPr>
          <w:ilvl w:val="1"/>
          <w:numId w:val="30"/>
        </w:numPr>
        <w:pBdr>
          <w:top w:space="0" w:sz="0" w:val="nil"/>
          <w:left w:space="0" w:sz="0" w:val="nil"/>
          <w:bottom w:space="0" w:sz="0" w:val="nil"/>
          <w:right w:space="0" w:sz="0" w:val="nil"/>
          <w:between w:space="0" w:sz="0" w:val="nil"/>
        </w:pBdr>
        <w:spacing w:after="60" w:before="120" w:line="276" w:lineRule="auto"/>
        <w:ind w:left="1068"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REFERENZE PER FORNITURE ANALOGHE (</w:t>
      </w:r>
      <w:r w:rsidDel="00000000" w:rsidR="00000000" w:rsidRPr="00000000">
        <w:rPr>
          <w:rFonts w:ascii="Titillium" w:cs="Titillium" w:eastAsia="Titillium" w:hAnsi="Titillium"/>
          <w:b w:val="1"/>
          <w:color w:val="000000"/>
          <w:sz w:val="18"/>
          <w:szCs w:val="18"/>
          <w:rtl w:val="0"/>
        </w:rPr>
        <w:t xml:space="preserve">Punti  14 </w:t>
      </w:r>
      <w:r w:rsidDel="00000000" w:rsidR="00000000" w:rsidRPr="00000000">
        <w:rPr>
          <w:rFonts w:ascii="Titillium" w:cs="Titillium" w:eastAsia="Titillium" w:hAnsi="Titillium"/>
          <w:color w:val="000000"/>
          <w:sz w:val="18"/>
          <w:szCs w:val="18"/>
          <w:rtl w:val="0"/>
        </w:rPr>
        <w:t xml:space="preserve">– Tipo tabella): Saranno valutate l’elenco dei valori delle forniture analoghe effettuate negli ultimi 3 anni. </w:t>
      </w:r>
    </w:p>
    <w:p w:rsidR="00000000" w:rsidDel="00000000" w:rsidP="00000000" w:rsidRDefault="00000000" w:rsidRPr="00000000" w14:paraId="0000029C">
      <w:pPr>
        <w:widowControl w:val="1"/>
        <w:pBdr>
          <w:top w:space="0" w:sz="0" w:val="nil"/>
          <w:left w:space="0" w:sz="0" w:val="nil"/>
          <w:bottom w:space="0" w:sz="0" w:val="nil"/>
          <w:right w:space="0" w:sz="0" w:val="nil"/>
          <w:between w:space="0" w:sz="0" w:val="nil"/>
        </w:pBdr>
        <w:spacing w:after="60" w:before="120" w:line="276" w:lineRule="auto"/>
        <w:jc w:val="both"/>
        <w:rPr>
          <w:rFonts w:ascii="Titillium" w:cs="Titillium" w:eastAsia="Titillium" w:hAnsi="Titillium"/>
          <w:color w:val="000000"/>
          <w:sz w:val="18"/>
          <w:szCs w:val="18"/>
        </w:rPr>
      </w:pPr>
      <w:r w:rsidDel="00000000" w:rsidR="00000000" w:rsidRPr="00000000">
        <w:rPr>
          <w:rtl w:val="0"/>
        </w:rPr>
      </w:r>
    </w:p>
    <w:tbl>
      <w:tblPr>
        <w:tblStyle w:val="Table6"/>
        <w:tblW w:w="7852.0" w:type="dxa"/>
        <w:jc w:val="left"/>
        <w:tblInd w:w="177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28"/>
        <w:gridCol w:w="3924"/>
        <w:tblGridChange w:id="0">
          <w:tblGrid>
            <w:gridCol w:w="3928"/>
            <w:gridCol w:w="3924"/>
          </w:tblGrid>
        </w:tblGridChange>
      </w:tblGrid>
      <w:tr>
        <w:trPr>
          <w:cantSplit w:val="0"/>
          <w:tblHeader w:val="0"/>
        </w:trPr>
        <w:tc>
          <w:tcPr/>
          <w:p w:rsidR="00000000" w:rsidDel="00000000" w:rsidP="00000000" w:rsidRDefault="00000000" w:rsidRPr="00000000" w14:paraId="0000029D">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0</w:t>
            </w:r>
          </w:p>
        </w:tc>
        <w:tc>
          <w:tcPr/>
          <w:p w:rsidR="00000000" w:rsidDel="00000000" w:rsidP="00000000" w:rsidRDefault="00000000" w:rsidRPr="00000000" w14:paraId="0000029E">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F(FORNITURE) = 50%</w:t>
            </w:r>
          </w:p>
        </w:tc>
      </w:tr>
      <w:tr>
        <w:trPr>
          <w:cantSplit w:val="0"/>
          <w:tblHeader w:val="0"/>
        </w:trPr>
        <w:tc>
          <w:tcPr/>
          <w:p w:rsidR="00000000" w:rsidDel="00000000" w:rsidP="00000000" w:rsidRDefault="00000000" w:rsidRPr="00000000" w14:paraId="0000029F">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7</w:t>
            </w:r>
          </w:p>
        </w:tc>
        <w:tc>
          <w:tcPr/>
          <w:p w:rsidR="00000000" w:rsidDel="00000000" w:rsidP="00000000" w:rsidRDefault="00000000" w:rsidRPr="00000000" w14:paraId="000002A0">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50% &lt; F &lt;= 80%</w:t>
            </w:r>
          </w:p>
        </w:tc>
      </w:tr>
      <w:tr>
        <w:trPr>
          <w:cantSplit w:val="0"/>
          <w:tblHeader w:val="0"/>
        </w:trPr>
        <w:tc>
          <w:tcPr/>
          <w:p w:rsidR="00000000" w:rsidDel="00000000" w:rsidP="00000000" w:rsidRDefault="00000000" w:rsidRPr="00000000" w14:paraId="000002A1">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10</w:t>
            </w:r>
          </w:p>
        </w:tc>
        <w:tc>
          <w:tcPr/>
          <w:p w:rsidR="00000000" w:rsidDel="00000000" w:rsidP="00000000" w:rsidRDefault="00000000" w:rsidRPr="00000000" w14:paraId="000002A2">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80% &lt; F &lt; 100%</w:t>
            </w:r>
          </w:p>
        </w:tc>
      </w:tr>
      <w:tr>
        <w:trPr>
          <w:cantSplit w:val="0"/>
          <w:tblHeader w:val="0"/>
        </w:trPr>
        <w:tc>
          <w:tcPr/>
          <w:p w:rsidR="00000000" w:rsidDel="00000000" w:rsidP="00000000" w:rsidRDefault="00000000" w:rsidRPr="00000000" w14:paraId="000002A3">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14</w:t>
            </w:r>
          </w:p>
        </w:tc>
        <w:tc>
          <w:tcPr/>
          <w:p w:rsidR="00000000" w:rsidDel="00000000" w:rsidP="00000000" w:rsidRDefault="00000000" w:rsidRPr="00000000" w14:paraId="000002A4">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100% &lt;= F</w:t>
            </w:r>
          </w:p>
        </w:tc>
      </w:tr>
    </w:tbl>
    <w:p w:rsidR="00000000" w:rsidDel="00000000" w:rsidP="00000000" w:rsidRDefault="00000000" w:rsidRPr="00000000" w14:paraId="000002A5">
      <w:pPr>
        <w:widowControl w:val="1"/>
        <w:pBdr>
          <w:top w:space="0" w:sz="0" w:val="nil"/>
          <w:left w:space="0" w:sz="0" w:val="nil"/>
          <w:bottom w:space="0" w:sz="0" w:val="nil"/>
          <w:right w:space="0" w:sz="0" w:val="nil"/>
          <w:between w:space="0" w:sz="0" w:val="nil"/>
        </w:pBdr>
        <w:spacing w:after="60" w:before="120" w:line="276" w:lineRule="auto"/>
        <w:jc w:val="both"/>
        <w:rPr>
          <w:rFonts w:ascii="Titillium" w:cs="Titillium" w:eastAsia="Titillium" w:hAnsi="Titillium"/>
          <w:color w:val="000000"/>
          <w:sz w:val="18"/>
          <w:szCs w:val="18"/>
        </w:rPr>
      </w:pPr>
      <w:r w:rsidDel="00000000" w:rsidR="00000000" w:rsidRPr="00000000">
        <w:rPr>
          <w:rtl w:val="0"/>
        </w:rPr>
      </w:r>
    </w:p>
    <w:p w:rsidR="00000000" w:rsidDel="00000000" w:rsidP="00000000" w:rsidRDefault="00000000" w:rsidRPr="00000000" w14:paraId="000002A6">
      <w:pPr>
        <w:spacing w:after="60" w:before="120" w:lineRule="auto"/>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2A7">
      <w:pPr>
        <w:widowControl w:val="1"/>
        <w:numPr>
          <w:ilvl w:val="0"/>
          <w:numId w:val="30"/>
        </w:numPr>
        <w:pBdr>
          <w:top w:space="0" w:sz="0" w:val="nil"/>
          <w:left w:space="0" w:sz="0" w:val="nil"/>
          <w:bottom w:space="0" w:sz="0" w:val="nil"/>
          <w:right w:space="0" w:sz="0" w:val="nil"/>
          <w:between w:space="0" w:sz="0" w:val="nil"/>
        </w:pBdr>
        <w:spacing w:after="60" w:before="120" w:line="276" w:lineRule="auto"/>
        <w:ind w:left="36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PREMIALITA’  EX ART. 47 D.L. 77/2021 (</w:t>
      </w:r>
      <w:r w:rsidDel="00000000" w:rsidR="00000000" w:rsidRPr="00000000">
        <w:rPr>
          <w:rFonts w:ascii="Titillium" w:cs="Titillium" w:eastAsia="Titillium" w:hAnsi="Titillium"/>
          <w:b w:val="1"/>
          <w:color w:val="000000"/>
          <w:sz w:val="18"/>
          <w:szCs w:val="18"/>
          <w:rtl w:val="0"/>
        </w:rPr>
        <w:t xml:space="preserve">Punti 6</w:t>
      </w:r>
      <w:r w:rsidDel="00000000" w:rsidR="00000000" w:rsidRPr="00000000">
        <w:rPr>
          <w:rFonts w:ascii="Titillium" w:cs="Titillium" w:eastAsia="Titillium" w:hAnsi="Titillium"/>
          <w:color w:val="000000"/>
          <w:sz w:val="18"/>
          <w:szCs w:val="18"/>
          <w:rtl w:val="0"/>
        </w:rPr>
        <w:t xml:space="preserve">)</w:t>
      </w:r>
    </w:p>
    <w:p w:rsidR="00000000" w:rsidDel="00000000" w:rsidP="00000000" w:rsidRDefault="00000000" w:rsidRPr="00000000" w14:paraId="000002A8">
      <w:pPr>
        <w:widowControl w:val="1"/>
        <w:numPr>
          <w:ilvl w:val="1"/>
          <w:numId w:val="30"/>
        </w:numPr>
        <w:pBdr>
          <w:top w:space="0" w:sz="0" w:val="nil"/>
          <w:left w:space="0" w:sz="0" w:val="nil"/>
          <w:bottom w:space="0" w:sz="0" w:val="nil"/>
          <w:right w:space="0" w:sz="0" w:val="nil"/>
          <w:between w:space="0" w:sz="0" w:val="nil"/>
        </w:pBdr>
        <w:spacing w:after="60" w:before="120" w:line="276" w:lineRule="auto"/>
        <w:ind w:left="1068"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 (</w:t>
      </w:r>
      <w:r w:rsidDel="00000000" w:rsidR="00000000" w:rsidRPr="00000000">
        <w:rPr>
          <w:rFonts w:ascii="Titillium" w:cs="Titillium" w:eastAsia="Titillium" w:hAnsi="Titillium"/>
          <w:b w:val="1"/>
          <w:color w:val="000000"/>
          <w:sz w:val="18"/>
          <w:szCs w:val="18"/>
          <w:rtl w:val="0"/>
        </w:rPr>
        <w:t xml:space="preserve">Punti  2 </w:t>
      </w:r>
      <w:r w:rsidDel="00000000" w:rsidR="00000000" w:rsidRPr="00000000">
        <w:rPr>
          <w:rFonts w:ascii="Titillium" w:cs="Titillium" w:eastAsia="Titillium" w:hAnsi="Titillium"/>
          <w:color w:val="000000"/>
          <w:sz w:val="18"/>
          <w:szCs w:val="18"/>
          <w:rtl w:val="0"/>
        </w:rPr>
        <w:t xml:space="preserve">– Tipo tabellare): Sarà valutato il possesso o meno del “Certificato della Parità di Genere UNI PdR125” del singolo partecipante / raggruppamento d’imprese. In caso di raggruppamenti o consorzi i certificati non sono cumulabili.</w:t>
      </w:r>
    </w:p>
    <w:tbl>
      <w:tblPr>
        <w:tblStyle w:val="Table7"/>
        <w:tblW w:w="7852.0" w:type="dxa"/>
        <w:jc w:val="left"/>
        <w:tblInd w:w="177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37"/>
        <w:gridCol w:w="3915"/>
        <w:tblGridChange w:id="0">
          <w:tblGrid>
            <w:gridCol w:w="3937"/>
            <w:gridCol w:w="3915"/>
          </w:tblGrid>
        </w:tblGridChange>
      </w:tblGrid>
      <w:tr>
        <w:trPr>
          <w:cantSplit w:val="0"/>
          <w:tblHeader w:val="0"/>
        </w:trPr>
        <w:tc>
          <w:tcPr/>
          <w:p w:rsidR="00000000" w:rsidDel="00000000" w:rsidP="00000000" w:rsidRDefault="00000000" w:rsidRPr="00000000" w14:paraId="000002A9">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0</w:t>
            </w:r>
          </w:p>
        </w:tc>
        <w:tc>
          <w:tcPr/>
          <w:p w:rsidR="00000000" w:rsidDel="00000000" w:rsidP="00000000" w:rsidRDefault="00000000" w:rsidRPr="00000000" w14:paraId="000002AA">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Assenza certificato</w:t>
            </w:r>
          </w:p>
        </w:tc>
      </w:tr>
      <w:tr>
        <w:trPr>
          <w:cantSplit w:val="0"/>
          <w:tblHeader w:val="0"/>
        </w:trPr>
        <w:tc>
          <w:tcPr/>
          <w:p w:rsidR="00000000" w:rsidDel="00000000" w:rsidP="00000000" w:rsidRDefault="00000000" w:rsidRPr="00000000" w14:paraId="000002AB">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2</w:t>
            </w:r>
          </w:p>
        </w:tc>
        <w:tc>
          <w:tcPr/>
          <w:p w:rsidR="00000000" w:rsidDel="00000000" w:rsidP="00000000" w:rsidRDefault="00000000" w:rsidRPr="00000000" w14:paraId="000002AC">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Presenza Certificato</w:t>
            </w:r>
          </w:p>
        </w:tc>
      </w:tr>
    </w:tbl>
    <w:p w:rsidR="00000000" w:rsidDel="00000000" w:rsidP="00000000" w:rsidRDefault="00000000" w:rsidRPr="00000000" w14:paraId="000002AD">
      <w:pPr>
        <w:widowControl w:val="1"/>
        <w:numPr>
          <w:ilvl w:val="1"/>
          <w:numId w:val="30"/>
        </w:numPr>
        <w:pBdr>
          <w:top w:space="0" w:sz="0" w:val="nil"/>
          <w:left w:space="0" w:sz="0" w:val="nil"/>
          <w:bottom w:space="0" w:sz="0" w:val="nil"/>
          <w:right w:space="0" w:sz="0" w:val="nil"/>
          <w:between w:space="0" w:sz="0" w:val="nil"/>
        </w:pBdr>
        <w:spacing w:after="60" w:before="120" w:line="276" w:lineRule="auto"/>
        <w:ind w:left="1068"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STRUMENTI DI CONCILIAZIONE (</w:t>
      </w:r>
      <w:r w:rsidDel="00000000" w:rsidR="00000000" w:rsidRPr="00000000">
        <w:rPr>
          <w:rFonts w:ascii="Titillium" w:cs="Titillium" w:eastAsia="Titillium" w:hAnsi="Titillium"/>
          <w:b w:val="1"/>
          <w:color w:val="000000"/>
          <w:sz w:val="18"/>
          <w:szCs w:val="18"/>
          <w:rtl w:val="0"/>
        </w:rPr>
        <w:t xml:space="preserve">Punti 2 </w:t>
      </w:r>
      <w:r w:rsidDel="00000000" w:rsidR="00000000" w:rsidRPr="00000000">
        <w:rPr>
          <w:rFonts w:ascii="Titillium" w:cs="Titillium" w:eastAsia="Titillium" w:hAnsi="Titillium"/>
          <w:color w:val="000000"/>
          <w:sz w:val="18"/>
          <w:szCs w:val="18"/>
          <w:rtl w:val="0"/>
        </w:rPr>
        <w:t xml:space="preserve">– Tipo tabellare): Sarà valutato l’utilizzo, nell’ultimo triennio antecedente alla data di scadenza del termine di presentazione delle offerte, di strumenti di conciliazione delle esigenze di cura, vita e lavoro per i propri dipendenti e modalità innovative di organizzazione del lavoro del singolo partecipante /  raggruppamento d’imprese.  In caso di raggruppamenti o consorzi analoghi  strumenti adottati non sono cumulabili.</w:t>
      </w:r>
    </w:p>
    <w:tbl>
      <w:tblPr>
        <w:tblStyle w:val="Table8"/>
        <w:tblW w:w="7852.0" w:type="dxa"/>
        <w:jc w:val="left"/>
        <w:tblInd w:w="177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28"/>
        <w:gridCol w:w="3924"/>
        <w:tblGridChange w:id="0">
          <w:tblGrid>
            <w:gridCol w:w="3928"/>
            <w:gridCol w:w="3924"/>
          </w:tblGrid>
        </w:tblGridChange>
      </w:tblGrid>
      <w:tr>
        <w:trPr>
          <w:cantSplit w:val="0"/>
          <w:tblHeader w:val="0"/>
        </w:trPr>
        <w:tc>
          <w:tcPr/>
          <w:p w:rsidR="00000000" w:rsidDel="00000000" w:rsidP="00000000" w:rsidRDefault="00000000" w:rsidRPr="00000000" w14:paraId="000002AE">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0</w:t>
            </w:r>
          </w:p>
        </w:tc>
        <w:tc>
          <w:tcPr/>
          <w:p w:rsidR="00000000" w:rsidDel="00000000" w:rsidP="00000000" w:rsidRDefault="00000000" w:rsidRPr="00000000" w14:paraId="000002AF">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 (Strumenti)= 0 </w:t>
            </w:r>
          </w:p>
        </w:tc>
      </w:tr>
      <w:tr>
        <w:trPr>
          <w:cantSplit w:val="0"/>
          <w:tblHeader w:val="0"/>
        </w:trPr>
        <w:tc>
          <w:tcPr/>
          <w:p w:rsidR="00000000" w:rsidDel="00000000" w:rsidP="00000000" w:rsidRDefault="00000000" w:rsidRPr="00000000" w14:paraId="000002B0">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1</w:t>
            </w:r>
          </w:p>
        </w:tc>
        <w:tc>
          <w:tcPr/>
          <w:p w:rsidR="00000000" w:rsidDel="00000000" w:rsidP="00000000" w:rsidRDefault="00000000" w:rsidRPr="00000000" w14:paraId="000002B1">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1 &lt; S &lt;= 2</w:t>
            </w:r>
          </w:p>
        </w:tc>
      </w:tr>
      <w:tr>
        <w:trPr>
          <w:cantSplit w:val="0"/>
          <w:tblHeader w:val="0"/>
        </w:trPr>
        <w:tc>
          <w:tcPr/>
          <w:p w:rsidR="00000000" w:rsidDel="00000000" w:rsidP="00000000" w:rsidRDefault="00000000" w:rsidRPr="00000000" w14:paraId="000002B2">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2</w:t>
            </w:r>
          </w:p>
        </w:tc>
        <w:tc>
          <w:tcPr/>
          <w:p w:rsidR="00000000" w:rsidDel="00000000" w:rsidP="00000000" w:rsidRDefault="00000000" w:rsidRPr="00000000" w14:paraId="000002B3">
            <w:pPr>
              <w:numPr>
                <w:ilvl w:val="0"/>
                <w:numId w:val="33"/>
              </w:numPr>
              <w:pBdr>
                <w:top w:space="0" w:sz="0" w:val="nil"/>
                <w:left w:space="0" w:sz="0" w:val="nil"/>
                <w:bottom w:space="0" w:sz="0" w:val="nil"/>
                <w:right w:space="0" w:sz="0" w:val="nil"/>
                <w:between w:space="0" w:sz="0" w:val="nil"/>
              </w:pBdr>
              <w:spacing w:after="60" w:before="120" w:line="276" w:lineRule="auto"/>
              <w:ind w:left="720"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&lt; S</w:t>
            </w:r>
          </w:p>
        </w:tc>
      </w:tr>
    </w:tbl>
    <w:p w:rsidR="00000000" w:rsidDel="00000000" w:rsidP="00000000" w:rsidRDefault="00000000" w:rsidRPr="00000000" w14:paraId="000002B4">
      <w:pPr>
        <w:widowControl w:val="1"/>
        <w:numPr>
          <w:ilvl w:val="1"/>
          <w:numId w:val="30"/>
        </w:numPr>
        <w:pBdr>
          <w:top w:space="0" w:sz="0" w:val="nil"/>
          <w:left w:space="0" w:sz="0" w:val="nil"/>
          <w:bottom w:space="0" w:sz="0" w:val="nil"/>
          <w:right w:space="0" w:sz="0" w:val="nil"/>
          <w:between w:space="0" w:sz="0" w:val="nil"/>
        </w:pBdr>
        <w:spacing w:after="60" w:before="120" w:line="276" w:lineRule="auto"/>
        <w:ind w:left="1068" w:hanging="360"/>
        <w:jc w:val="both"/>
        <w:rPr>
          <w:rFonts w:ascii="Titillium" w:cs="Titillium" w:eastAsia="Titillium" w:hAnsi="Titillium"/>
          <w:color w:val="000000"/>
          <w:sz w:val="18"/>
          <w:szCs w:val="18"/>
        </w:rPr>
      </w:pPr>
      <w:r w:rsidDel="00000000" w:rsidR="00000000" w:rsidRPr="00000000">
        <w:rPr>
          <w:rFonts w:ascii="Titillium" w:cs="Titillium" w:eastAsia="Titillium" w:hAnsi="Titillium"/>
          <w:color w:val="000000"/>
          <w:sz w:val="18"/>
          <w:szCs w:val="18"/>
          <w:rtl w:val="0"/>
        </w:rPr>
        <w:t xml:space="preserve">ASSENZA DI VERBALI DI DISCRIMINAZIONE DI GENERE (</w:t>
      </w:r>
      <w:r w:rsidDel="00000000" w:rsidR="00000000" w:rsidRPr="00000000">
        <w:rPr>
          <w:rFonts w:ascii="Titillium" w:cs="Titillium" w:eastAsia="Titillium" w:hAnsi="Titillium"/>
          <w:b w:val="1"/>
          <w:color w:val="000000"/>
          <w:sz w:val="18"/>
          <w:szCs w:val="18"/>
          <w:rtl w:val="0"/>
        </w:rPr>
        <w:t xml:space="preserve">Punti 2</w:t>
      </w:r>
      <w:r w:rsidDel="00000000" w:rsidR="00000000" w:rsidRPr="00000000">
        <w:rPr>
          <w:rFonts w:ascii="Titillium" w:cs="Titillium" w:eastAsia="Titillium" w:hAnsi="Titillium"/>
          <w:color w:val="000000"/>
          <w:sz w:val="18"/>
          <w:szCs w:val="18"/>
          <w:rtl w:val="0"/>
        </w:rPr>
        <w:t xml:space="preserve">– Tipo tabellare):  Sarà valutata l’assenza, nei tre anni antecedenti alla data di scadenza del termine di presentazione delle offerte, di verbali di conciliazione extragiudiziale per discriminazione di genere (artt. 37-41 del decreto legislativo n.198 del 2006).</w:t>
      </w:r>
    </w:p>
    <w:tbl>
      <w:tblPr>
        <w:tblStyle w:val="Table9"/>
        <w:tblW w:w="7852.0" w:type="dxa"/>
        <w:jc w:val="left"/>
        <w:tblInd w:w="177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28"/>
        <w:gridCol w:w="3924"/>
        <w:tblGridChange w:id="0">
          <w:tblGrid>
            <w:gridCol w:w="3928"/>
            <w:gridCol w:w="3924"/>
          </w:tblGrid>
        </w:tblGridChange>
      </w:tblGrid>
      <w:tr>
        <w:trPr>
          <w:cantSplit w:val="0"/>
          <w:tblHeader w:val="0"/>
        </w:trPr>
        <w:tc>
          <w:tcPr/>
          <w:p w:rsidR="00000000" w:rsidDel="00000000" w:rsidP="00000000" w:rsidRDefault="00000000" w:rsidRPr="00000000" w14:paraId="000002B5">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0</w:t>
            </w:r>
          </w:p>
        </w:tc>
        <w:tc>
          <w:tcPr/>
          <w:p w:rsidR="00000000" w:rsidDel="00000000" w:rsidP="00000000" w:rsidRDefault="00000000" w:rsidRPr="00000000" w14:paraId="000002B6">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Presenza di verbale</w:t>
            </w:r>
          </w:p>
        </w:tc>
      </w:tr>
      <w:tr>
        <w:trPr>
          <w:cantSplit w:val="0"/>
          <w:tblHeader w:val="0"/>
        </w:trPr>
        <w:tc>
          <w:tcPr/>
          <w:p w:rsidR="00000000" w:rsidDel="00000000" w:rsidP="00000000" w:rsidRDefault="00000000" w:rsidRPr="00000000" w14:paraId="000002B7">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Punti 2</w:t>
            </w:r>
          </w:p>
        </w:tc>
        <w:tc>
          <w:tcPr/>
          <w:p w:rsidR="00000000" w:rsidDel="00000000" w:rsidP="00000000" w:rsidRDefault="00000000" w:rsidRPr="00000000" w14:paraId="000002B8">
            <w:pPr>
              <w:spacing w:after="60" w:before="120" w:lineRule="auto"/>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Assenza di verbale</w:t>
            </w:r>
          </w:p>
        </w:tc>
      </w:tr>
    </w:tbl>
    <w:p w:rsidR="00000000" w:rsidDel="00000000" w:rsidP="00000000" w:rsidRDefault="00000000" w:rsidRPr="00000000" w14:paraId="000002B9">
      <w:pPr>
        <w:spacing w:after="60" w:before="120" w:lineRule="auto"/>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2BA">
      <w:pPr>
        <w:pStyle w:val="Heading4"/>
        <w:rPr>
          <w:smallCaps w:val="1"/>
        </w:rPr>
      </w:pPr>
      <w:r w:rsidDel="00000000" w:rsidR="00000000" w:rsidRPr="00000000">
        <w:rPr>
          <w:rtl w:val="0"/>
        </w:rPr>
        <w:t xml:space="preserve">METODO DI ATTRIBUZIONE DEL COEFFICIENTE PER IL CALCOLO DEL PUNTEGGIO DELL’OFFERTA TECNICA</w:t>
      </w:r>
      <w:r w:rsidDel="00000000" w:rsidR="00000000" w:rsidRPr="00000000">
        <w:rPr>
          <w:rtl w:val="0"/>
        </w:rPr>
      </w:r>
    </w:p>
    <w:p w:rsidR="00000000" w:rsidDel="00000000" w:rsidP="00000000" w:rsidRDefault="00000000" w:rsidRPr="00000000" w14:paraId="000002BB">
      <w:pPr>
        <w:widowControl w:val="1"/>
        <w:spacing w:after="60" w:before="60" w:line="276" w:lineRule="auto"/>
        <w:jc w:val="both"/>
        <w:rPr>
          <w:rFonts w:ascii="Titillium" w:cs="Titillium" w:eastAsia="Titillium" w:hAnsi="Titillium"/>
          <w:b w:val="1"/>
          <w:i w:val="1"/>
          <w:sz w:val="18"/>
          <w:szCs w:val="18"/>
        </w:rPr>
      </w:pPr>
      <w:r w:rsidDel="00000000" w:rsidR="00000000" w:rsidRPr="00000000">
        <w:rPr>
          <w:rtl w:val="0"/>
        </w:rPr>
      </w:r>
    </w:p>
    <w:p w:rsidR="00000000" w:rsidDel="00000000" w:rsidP="00000000" w:rsidRDefault="00000000" w:rsidRPr="00000000" w14:paraId="000002BC">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b w:val="1"/>
          <w:i w:val="1"/>
          <w:sz w:val="18"/>
          <w:szCs w:val="18"/>
          <w:rtl w:val="0"/>
        </w:rPr>
        <w:t xml:space="preserve">In caso di criteri qualitativi: </w:t>
      </w:r>
      <w:r w:rsidDel="00000000" w:rsidR="00000000" w:rsidRPr="00000000">
        <w:rPr>
          <w:rFonts w:ascii="Titillium" w:cs="Titillium" w:eastAsia="Titillium" w:hAnsi="Titillium"/>
          <w:sz w:val="18"/>
          <w:szCs w:val="18"/>
          <w:rtl w:val="0"/>
        </w:rPr>
        <w:t xml:space="preserve">a ciascuno degli elementi qualitativi cui è assegnato un punteggio discrezionale nella colonna “D” della tabella, è attribuito un coefficiente sulla base del metodo discrezionale di attribuzione di un coefficiente variabile da zero ad uno da parte di ciascun commissario.</w:t>
      </w:r>
    </w:p>
    <w:p w:rsidR="00000000" w:rsidDel="00000000" w:rsidP="00000000" w:rsidRDefault="00000000" w:rsidRPr="00000000" w14:paraId="000002BD">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tbl>
      <w:tblPr>
        <w:tblStyle w:val="Table10"/>
        <w:tblW w:w="31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7"/>
        <w:gridCol w:w="1587"/>
        <w:tblGridChange w:id="0">
          <w:tblGrid>
            <w:gridCol w:w="1557"/>
            <w:gridCol w:w="15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E">
            <w:pPr>
              <w:jc w:val="center"/>
              <w:rPr>
                <w:rFonts w:ascii="Titilium" w:cs="Titilium" w:eastAsia="Titilium" w:hAnsi="Titilium"/>
                <w:sz w:val="18"/>
                <w:szCs w:val="18"/>
              </w:rPr>
            </w:pPr>
            <w:r w:rsidDel="00000000" w:rsidR="00000000" w:rsidRPr="00000000">
              <w:rPr>
                <w:rFonts w:ascii="Titilium" w:cs="Titilium" w:eastAsia="Titilium" w:hAnsi="Titilium"/>
                <w:b w:val="1"/>
                <w:color w:val="000000"/>
                <w:sz w:val="18"/>
                <w:szCs w:val="18"/>
                <w:rtl w:val="0"/>
              </w:rPr>
              <w:t xml:space="preserve">VALUTAZIONE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BF">
            <w:pPr>
              <w:jc w:val="center"/>
              <w:rPr>
                <w:rFonts w:ascii="Titilium" w:cs="Titilium" w:eastAsia="Titilium" w:hAnsi="Titilium"/>
                <w:sz w:val="18"/>
                <w:szCs w:val="18"/>
              </w:rPr>
            </w:pPr>
            <w:r w:rsidDel="00000000" w:rsidR="00000000" w:rsidRPr="00000000">
              <w:rPr>
                <w:rFonts w:ascii="Titilium" w:cs="Titilium" w:eastAsia="Titilium" w:hAnsi="Titilium"/>
                <w:b w:val="1"/>
                <w:color w:val="000000"/>
                <w:sz w:val="18"/>
                <w:szCs w:val="18"/>
                <w:rtl w:val="0"/>
              </w:rPr>
              <w:t xml:space="preserve">COEFFICIENTE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0">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Ottimo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1">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1.00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2">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Buono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3">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0.80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4">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Discreto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5">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0.60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6">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Sufficiente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7">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0.40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8">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Scarso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9">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0.20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A">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Insufficiente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CB">
            <w:pPr>
              <w:jc w:val="center"/>
              <w:rPr>
                <w:rFonts w:ascii="Titilium" w:cs="Titilium" w:eastAsia="Titilium" w:hAnsi="Titilium"/>
                <w:sz w:val="18"/>
                <w:szCs w:val="18"/>
              </w:rPr>
            </w:pPr>
            <w:r w:rsidDel="00000000" w:rsidR="00000000" w:rsidRPr="00000000">
              <w:rPr>
                <w:rFonts w:ascii="Titilium" w:cs="Titilium" w:eastAsia="Titilium" w:hAnsi="Titilium"/>
                <w:color w:val="000000"/>
                <w:sz w:val="18"/>
                <w:szCs w:val="18"/>
                <w:rtl w:val="0"/>
              </w:rPr>
              <w:t xml:space="preserve">0.00</w:t>
            </w:r>
            <w:r w:rsidDel="00000000" w:rsidR="00000000" w:rsidRPr="00000000">
              <w:rPr>
                <w:rtl w:val="0"/>
              </w:rPr>
            </w:r>
          </w:p>
        </w:tc>
      </w:tr>
    </w:tbl>
    <w:p w:rsidR="00000000" w:rsidDel="00000000" w:rsidP="00000000" w:rsidRDefault="00000000" w:rsidRPr="00000000" w14:paraId="000002CC">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2C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metodo di calcolo del coefficiente unico da attribuire all’offerta in relazione al sub-criterio di cui sopra calcola la media aritmetica dei coefficienti attribuiti dai singoli commissari all’offerta in relazione al sub-criterio in esame, al fine di ottenere il coefficiente medio da applicare al medesimo.</w:t>
      </w:r>
    </w:p>
    <w:p w:rsidR="00000000" w:rsidDel="00000000" w:rsidP="00000000" w:rsidRDefault="00000000" w:rsidRPr="00000000" w14:paraId="000002CE">
      <w:pPr>
        <w:widowControl w:val="1"/>
        <w:spacing w:after="60" w:before="60" w:line="276" w:lineRule="auto"/>
        <w:jc w:val="both"/>
        <w:rPr>
          <w:rFonts w:ascii="Titillium" w:cs="Titillium" w:eastAsia="Titillium" w:hAnsi="Titillium"/>
          <w:i w:val="1"/>
          <w:sz w:val="18"/>
          <w:szCs w:val="18"/>
        </w:rPr>
      </w:pPr>
      <w:r w:rsidDel="00000000" w:rsidR="00000000" w:rsidRPr="00000000">
        <w:rPr>
          <w:rtl w:val="0"/>
        </w:rPr>
      </w:r>
    </w:p>
    <w:p w:rsidR="00000000" w:rsidDel="00000000" w:rsidP="00000000" w:rsidRDefault="00000000" w:rsidRPr="00000000" w14:paraId="000002CF">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b w:val="1"/>
          <w:i w:val="1"/>
          <w:sz w:val="18"/>
          <w:szCs w:val="18"/>
          <w:rtl w:val="0"/>
        </w:rPr>
        <w:t xml:space="preserve">In caso di criteri quantitativi:</w:t>
      </w:r>
      <w:r w:rsidDel="00000000" w:rsidR="00000000" w:rsidRPr="00000000">
        <w:rPr>
          <w:rFonts w:ascii="Titillium" w:cs="Titillium" w:eastAsia="Titillium" w:hAnsi="Titillium"/>
          <w:sz w:val="18"/>
          <w:szCs w:val="18"/>
          <w:rtl w:val="0"/>
        </w:rPr>
        <w:t xml:space="preserve"> A ciascuno degli elementi quantitativi cui è assegnato un punteggio nella colonna “Q” della tabella, è attribuito un coefficiente, variabile tra zero e uno, sulla base del </w:t>
      </w:r>
      <w:r w:rsidDel="00000000" w:rsidR="00000000" w:rsidRPr="00000000">
        <w:rPr>
          <w:rFonts w:ascii="Titillium" w:cs="Titillium" w:eastAsia="Titillium" w:hAnsi="Titillium"/>
          <w:b w:val="1"/>
          <w:i w:val="1"/>
          <w:sz w:val="18"/>
          <w:szCs w:val="18"/>
          <w:rtl w:val="0"/>
        </w:rPr>
        <w:t xml:space="preserve">metodo interpolazione lineare</w:t>
      </w:r>
      <w:r w:rsidDel="00000000" w:rsidR="00000000" w:rsidRPr="00000000">
        <w:rPr>
          <w:rFonts w:ascii="Titillium" w:cs="Titillium" w:eastAsia="Titillium" w:hAnsi="Titillium"/>
          <w:i w:val="1"/>
          <w:sz w:val="18"/>
          <w:szCs w:val="18"/>
          <w:rtl w:val="0"/>
        </w:rPr>
        <w:t xml:space="preserve">.</w:t>
      </w:r>
      <w:r w:rsidDel="00000000" w:rsidR="00000000" w:rsidRPr="00000000">
        <w:rPr>
          <w:rtl w:val="0"/>
        </w:rPr>
      </w:r>
    </w:p>
    <w:p w:rsidR="00000000" w:rsidDel="00000000" w:rsidP="00000000" w:rsidRDefault="00000000" w:rsidRPr="00000000" w14:paraId="000002D0">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b w:val="1"/>
          <w:i w:val="1"/>
          <w:sz w:val="18"/>
          <w:szCs w:val="18"/>
          <w:rtl w:val="0"/>
        </w:rPr>
        <w:t xml:space="preserve">In caso di criteri tabellari: </w:t>
      </w:r>
      <w:r w:rsidDel="00000000" w:rsidR="00000000" w:rsidRPr="00000000">
        <w:rPr>
          <w:rFonts w:ascii="Titillium" w:cs="Titillium" w:eastAsia="Titillium" w:hAnsi="Titillium"/>
          <w:sz w:val="18"/>
          <w:szCs w:val="18"/>
          <w:rtl w:val="0"/>
        </w:rPr>
        <w:t xml:space="preserve">quanto agli elementi cui è assegnato un punteggio tabellare identificato dalla colonna “T” della tabella, il relativo punteggio è assegnato, automaticamente e in valore assoluto, sulla base della presenza o assenza nell’offerta, dell’elemento richiesto.</w:t>
      </w:r>
    </w:p>
    <w:p w:rsidR="00000000" w:rsidDel="00000000" w:rsidP="00000000" w:rsidRDefault="00000000" w:rsidRPr="00000000" w14:paraId="000002D1">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 </w:t>
      </w:r>
    </w:p>
    <w:p w:rsidR="00000000" w:rsidDel="00000000" w:rsidP="00000000" w:rsidRDefault="00000000" w:rsidRPr="00000000" w14:paraId="000002D2">
      <w:pPr>
        <w:pStyle w:val="Heading4"/>
        <w:rPr>
          <w:rFonts w:ascii="Garamond" w:cs="Garamond" w:eastAsia="Garamond" w:hAnsi="Garamond"/>
        </w:rPr>
      </w:pPr>
      <w:r w:rsidDel="00000000" w:rsidR="00000000" w:rsidRPr="00000000">
        <w:rPr>
          <w:rtl w:val="0"/>
        </w:rPr>
        <w:t xml:space="preserve">METODO DI ATTRIBUZIONE DEL COEFFICIENTE PER IL CALCOLO DEL PUNTEGGIO DELL’OFFERTA ECONOMICA</w:t>
      </w:r>
      <w:r w:rsidDel="00000000" w:rsidR="00000000" w:rsidRPr="00000000">
        <w:rPr>
          <w:rtl w:val="0"/>
        </w:rPr>
      </w:r>
    </w:p>
    <w:p w:rsidR="00000000" w:rsidDel="00000000" w:rsidP="00000000" w:rsidRDefault="00000000" w:rsidRPr="00000000" w14:paraId="000002D3">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2D4">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Quanto all’offerta economica, è attribuito all’elemento economico un coefficiente, variabile da zero ad uno, calcolato tramite la</w:t>
      </w:r>
      <w:r w:rsidDel="00000000" w:rsidR="00000000" w:rsidRPr="00000000">
        <w:rPr>
          <w:rFonts w:ascii="Titillium" w:cs="Titillium" w:eastAsia="Titillium" w:hAnsi="Titillium"/>
          <w:i w:val="1"/>
          <w:sz w:val="18"/>
          <w:szCs w:val="18"/>
          <w:rtl w:val="0"/>
        </w:rPr>
        <w:t xml:space="preserve">:</w:t>
      </w:r>
      <w:r w:rsidDel="00000000" w:rsidR="00000000" w:rsidRPr="00000000">
        <w:rPr>
          <w:rtl w:val="0"/>
        </w:rPr>
      </w:r>
    </w:p>
    <w:p w:rsidR="00000000" w:rsidDel="00000000" w:rsidP="00000000" w:rsidRDefault="00000000" w:rsidRPr="00000000" w14:paraId="000002D5">
      <w:pPr>
        <w:widowControl w:val="1"/>
        <w:spacing w:after="60" w:before="6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2D6">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Formula “quadratica” </w:t>
      </w:r>
    </w:p>
    <w:p w:rsidR="00000000" w:rsidDel="00000000" w:rsidP="00000000" w:rsidRDefault="00000000" w:rsidRPr="00000000" w14:paraId="000002D7">
      <w:pPr>
        <w:jc w:val="center"/>
        <w:rPr>
          <w:rFonts w:ascii="Cambria Math" w:cs="Cambria Math" w:eastAsia="Cambria Math" w:hAnsi="Cambria Math"/>
          <w:sz w:val="18"/>
          <w:szCs w:val="18"/>
        </w:rPr>
      </w:pPr>
      <m:oMath>
        <m:sSub>
          <m:sSubPr>
            <m:ctrlPr>
              <w:rPr>
                <w:rFonts w:ascii="Cambria Math" w:cs="Cambria Math" w:eastAsia="Cambria Math" w:hAnsi="Cambria Math"/>
                <w:sz w:val="18"/>
                <w:szCs w:val="18"/>
              </w:rPr>
            </m:ctrlPr>
          </m:sSubPr>
          <m:e>
            <m:r>
              <w:rPr>
                <w:rFonts w:ascii="Cambria Math" w:cs="Cambria Math" w:eastAsia="Cambria Math" w:hAnsi="Cambria Math"/>
                <w:sz w:val="18"/>
                <w:szCs w:val="18"/>
              </w:rPr>
              <m:t xml:space="preserve">C</m:t>
            </m:r>
          </m:e>
          <m:sub>
            <m:r>
              <w:rPr>
                <w:rFonts w:ascii="Cambria Math" w:cs="Cambria Math" w:eastAsia="Cambria Math" w:hAnsi="Cambria Math"/>
                <w:sz w:val="18"/>
                <w:szCs w:val="18"/>
              </w:rPr>
              <m:t xml:space="preserve">i</m:t>
            </m:r>
          </m:sub>
        </m:sSub>
        <m:r>
          <w:rPr>
            <w:rFonts w:ascii="Cambria Math" w:cs="Cambria Math" w:eastAsia="Cambria Math" w:hAnsi="Cambria Math"/>
            <w:sz w:val="18"/>
            <w:szCs w:val="18"/>
          </w:rPr>
          <m:t xml:space="preserve">=</m:t>
        </m:r>
        <m:sSup>
          <m:sSupPr>
            <m:ctrlPr>
              <w:rPr>
                <w:rFonts w:ascii="Cambria Math" w:cs="Cambria Math" w:eastAsia="Cambria Math" w:hAnsi="Cambria Math"/>
                <w:sz w:val="18"/>
                <w:szCs w:val="18"/>
              </w:rPr>
            </m:ctrlPr>
          </m:sSupPr>
          <m:e>
            <m:d>
              <m:dPr>
                <m:begChr m:val="("/>
                <m:endChr m:val=")"/>
                <m:ctrlPr>
                  <w:rPr>
                    <w:rFonts w:ascii="Cambria Math" w:cs="Cambria Math" w:eastAsia="Cambria Math" w:hAnsi="Cambria Math"/>
                    <w:sz w:val="18"/>
                    <w:szCs w:val="18"/>
                  </w:rPr>
                </m:ctrlPr>
              </m:dPr>
              <m:e>
                <m:f>
                  <m:fPr>
                    <m:ctrlPr>
                      <w:rPr>
                        <w:rFonts w:ascii="Cambria Math" w:cs="Cambria Math" w:eastAsia="Cambria Math" w:hAnsi="Cambria Math"/>
                        <w:sz w:val="18"/>
                        <w:szCs w:val="18"/>
                      </w:rPr>
                    </m:ctrlPr>
                  </m:fPr>
                  <m:num>
                    <m:sSub>
                      <m:sSubPr>
                        <m:ctrlPr>
                          <w:rPr>
                            <w:rFonts w:ascii="Cambria Math" w:cs="Cambria Math" w:eastAsia="Cambria Math" w:hAnsi="Cambria Math"/>
                            <w:sz w:val="18"/>
                            <w:szCs w:val="18"/>
                          </w:rPr>
                        </m:ctrlPr>
                      </m:sSubPr>
                      <m:e>
                        <m:r>
                          <w:rPr>
                            <w:rFonts w:ascii="Cambria Math" w:cs="Cambria Math" w:eastAsia="Cambria Math" w:hAnsi="Cambria Math"/>
                            <w:sz w:val="18"/>
                            <w:szCs w:val="18"/>
                          </w:rPr>
                          <m:t xml:space="preserve">A</m:t>
                        </m:r>
                      </m:e>
                      <m:sub>
                        <m:r>
                          <w:rPr>
                            <w:rFonts w:ascii="Cambria Math" w:cs="Cambria Math" w:eastAsia="Cambria Math" w:hAnsi="Cambria Math"/>
                            <w:sz w:val="18"/>
                            <w:szCs w:val="18"/>
                          </w:rPr>
                          <m:t xml:space="preserve">i</m:t>
                        </m:r>
                      </m:sub>
                    </m:sSub>
                  </m:num>
                  <m:den>
                    <m:sSub>
                      <m:sSubPr>
                        <m:ctrlPr>
                          <w:rPr>
                            <w:rFonts w:ascii="Cambria Math" w:cs="Cambria Math" w:eastAsia="Cambria Math" w:hAnsi="Cambria Math"/>
                            <w:sz w:val="18"/>
                            <w:szCs w:val="18"/>
                          </w:rPr>
                        </m:ctrlPr>
                      </m:sSubPr>
                      <m:e>
                        <m:r>
                          <w:rPr>
                            <w:rFonts w:ascii="Cambria Math" w:cs="Cambria Math" w:eastAsia="Cambria Math" w:hAnsi="Cambria Math"/>
                            <w:sz w:val="18"/>
                            <w:szCs w:val="18"/>
                          </w:rPr>
                          <m:t xml:space="preserve">A</m:t>
                        </m:r>
                      </m:e>
                      <m:sub>
                        <m:r>
                          <w:rPr>
                            <w:rFonts w:ascii="Cambria Math" w:cs="Cambria Math" w:eastAsia="Cambria Math" w:hAnsi="Cambria Math"/>
                            <w:sz w:val="18"/>
                            <w:szCs w:val="18"/>
                          </w:rPr>
                          <m:t xml:space="preserve">max</m:t>
                        </m:r>
                      </m:sub>
                    </m:sSub>
                  </m:den>
                </m:f>
              </m:e>
            </m:d>
          </m:e>
          <m:sup>
            <m:r>
              <w:rPr>
                <w:rFonts w:ascii="Cambria Math" w:cs="Cambria Math" w:eastAsia="Cambria Math" w:hAnsi="Cambria Math"/>
                <w:sz w:val="18"/>
                <w:szCs w:val="18"/>
              </w:rPr>
              <m:t>∝</m:t>
            </m:r>
          </m:sup>
        </m:sSup>
      </m:oMath>
      <w:r w:rsidDel="00000000" w:rsidR="00000000" w:rsidRPr="00000000">
        <w:rPr>
          <w:rtl w:val="0"/>
        </w:rPr>
      </w:r>
    </w:p>
    <w:p w:rsidR="00000000" w:rsidDel="00000000" w:rsidP="00000000" w:rsidRDefault="00000000" w:rsidRPr="00000000" w14:paraId="000002D8">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dove</w:t>
      </w:r>
    </w:p>
    <w:p w:rsidR="00000000" w:rsidDel="00000000" w:rsidP="00000000" w:rsidRDefault="00000000" w:rsidRPr="00000000" w14:paraId="000002D9">
      <w:pPr>
        <w:widowControl w:val="1"/>
        <w:spacing w:after="60" w:before="60" w:line="276" w:lineRule="auto"/>
        <w:jc w:val="both"/>
        <w:rPr>
          <w:rFonts w:ascii="Garamond" w:cs="Garamond" w:eastAsia="Garamond" w:hAnsi="Garamond"/>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i</m:t>
            </m:r>
          </m:sub>
        </m:sSub>
      </m:oMath>
      <w:r w:rsidDel="00000000" w:rsidR="00000000" w:rsidRPr="00000000">
        <w:rPr>
          <w:rFonts w:ascii="Titillium" w:cs="Titillium" w:eastAsia="Titillium" w:hAnsi="Titillium"/>
          <w:sz w:val="18"/>
          <w:szCs w:val="18"/>
          <w:rtl w:val="0"/>
        </w:rPr>
        <w:t xml:space="preserve"> = coefficiente attribuito al concorrente i-esimo</w:t>
      </w:r>
      <w:r w:rsidDel="00000000" w:rsidR="00000000" w:rsidRPr="00000000">
        <w:rPr>
          <w:rtl w:val="0"/>
        </w:rPr>
      </w:r>
    </w:p>
    <w:p w:rsidR="00000000" w:rsidDel="00000000" w:rsidP="00000000" w:rsidRDefault="00000000" w:rsidRPr="00000000" w14:paraId="000002DA">
      <w:pPr>
        <w:widowControl w:val="1"/>
        <w:spacing w:after="60" w:before="60" w:line="276" w:lineRule="auto"/>
        <w:jc w:val="both"/>
        <w:rPr>
          <w:rFonts w:ascii="Garamond" w:cs="Garamond" w:eastAsia="Garamond" w:hAnsi="Garamond"/>
        </w:rPr>
      </w:pP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i</m:t>
            </m:r>
          </m:sub>
        </m:sSub>
      </m:oMath>
      <w:r w:rsidDel="00000000" w:rsidR="00000000" w:rsidRPr="00000000">
        <w:rPr>
          <w:rFonts w:ascii="Titillium" w:cs="Titillium" w:eastAsia="Titillium" w:hAnsi="Titillium"/>
          <w:sz w:val="18"/>
          <w:szCs w:val="18"/>
          <w:rtl w:val="0"/>
        </w:rPr>
        <w:t xml:space="preserve"> = ribasso percentuale del concorrente i-esimo</w:t>
      </w:r>
      <w:r w:rsidDel="00000000" w:rsidR="00000000" w:rsidRPr="00000000">
        <w:rPr>
          <w:rtl w:val="0"/>
        </w:rPr>
      </w:r>
    </w:p>
    <w:p w:rsidR="00000000" w:rsidDel="00000000" w:rsidP="00000000" w:rsidRDefault="00000000" w:rsidRPr="00000000" w14:paraId="000002DB">
      <w:pPr>
        <w:widowControl w:val="1"/>
        <w:spacing w:after="60" w:before="60" w:line="276" w:lineRule="auto"/>
        <w:jc w:val="both"/>
        <w:rPr>
          <w:rFonts w:ascii="Garamond" w:cs="Garamond" w:eastAsia="Garamond" w:hAnsi="Garamond"/>
        </w:rPr>
      </w:pP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max</m:t>
            </m:r>
          </m:sub>
        </m:sSub>
      </m:oMath>
      <w:r w:rsidDel="00000000" w:rsidR="00000000" w:rsidRPr="00000000">
        <w:rPr>
          <w:rFonts w:ascii="Titillium" w:cs="Titillium" w:eastAsia="Titillium" w:hAnsi="Titillium"/>
          <w:sz w:val="18"/>
          <w:szCs w:val="18"/>
          <w:rtl w:val="0"/>
        </w:rPr>
        <w:t xml:space="preserve"> = ribasso percentuale più conveniente</w:t>
      </w:r>
      <w:r w:rsidDel="00000000" w:rsidR="00000000" w:rsidRPr="00000000">
        <w:rPr>
          <w:rtl w:val="0"/>
        </w:rPr>
      </w:r>
    </w:p>
    <w:p w:rsidR="00000000" w:rsidDel="00000000" w:rsidP="00000000" w:rsidRDefault="00000000" w:rsidRPr="00000000" w14:paraId="000002DC">
      <w:pPr>
        <w:widowControl w:val="1"/>
        <w:spacing w:after="60" w:before="60" w:line="276" w:lineRule="auto"/>
        <w:jc w:val="both"/>
        <w:rPr>
          <w:rFonts w:ascii="Titillium" w:cs="Titillium" w:eastAsia="Titillium" w:hAnsi="Titillium"/>
          <w:sz w:val="18"/>
          <w:szCs w:val="18"/>
          <w:u w:val="single"/>
        </w:rPr>
      </w:pPr>
      <w:r w:rsidDel="00000000" w:rsidR="00000000" w:rsidRPr="00000000">
        <w:rPr>
          <w:rFonts w:ascii="Courier New" w:cs="Courier New" w:eastAsia="Courier New" w:hAnsi="Courier New"/>
          <w:b w:val="1"/>
          <w:i w:val="1"/>
          <w:sz w:val="18"/>
          <w:szCs w:val="18"/>
          <w:rtl w:val="0"/>
        </w:rPr>
        <w:t xml:space="preserve">α</w:t>
      </w:r>
      <w:r w:rsidDel="00000000" w:rsidR="00000000" w:rsidRPr="00000000">
        <w:rPr>
          <w:rFonts w:ascii="Titillium" w:cs="Titillium" w:eastAsia="Titillium" w:hAnsi="Titillium"/>
          <w:b w:val="1"/>
          <w:i w:val="1"/>
          <w:sz w:val="18"/>
          <w:szCs w:val="18"/>
          <w:rtl w:val="0"/>
        </w:rPr>
        <w:t xml:space="preserve"> = 0,5</w:t>
      </w:r>
      <w:r w:rsidDel="00000000" w:rsidR="00000000" w:rsidRPr="00000000">
        <w:rPr>
          <w:rtl w:val="0"/>
        </w:rPr>
      </w:r>
    </w:p>
    <w:p w:rsidR="00000000" w:rsidDel="00000000" w:rsidP="00000000" w:rsidRDefault="00000000" w:rsidRPr="00000000" w14:paraId="000002DD">
      <w:pPr>
        <w:widowControl w:val="1"/>
        <w:spacing w:after="60" w:before="60" w:line="276" w:lineRule="auto"/>
        <w:jc w:val="both"/>
        <w:rPr>
          <w:rFonts w:ascii="Titillium" w:cs="Titillium" w:eastAsia="Titillium" w:hAnsi="Titillium"/>
          <w:b w:val="1"/>
          <w:i w:val="1"/>
          <w:sz w:val="18"/>
          <w:szCs w:val="18"/>
        </w:rPr>
      </w:pPr>
      <w:r w:rsidDel="00000000" w:rsidR="00000000" w:rsidRPr="00000000">
        <w:rPr>
          <w:rtl w:val="0"/>
        </w:rPr>
      </w:r>
    </w:p>
    <w:p w:rsidR="00000000" w:rsidDel="00000000" w:rsidP="00000000" w:rsidRDefault="00000000" w:rsidRPr="00000000" w14:paraId="000002DE">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b w:val="1"/>
          <w:sz w:val="18"/>
          <w:szCs w:val="18"/>
          <w:rtl w:val="0"/>
        </w:rPr>
        <w:t xml:space="preserve">18.4. METODO DI CALCOLO DEI PUNTEGGI</w:t>
      </w:r>
      <w:r w:rsidDel="00000000" w:rsidR="00000000" w:rsidRPr="00000000">
        <w:rPr>
          <w:rtl w:val="0"/>
        </w:rPr>
      </w:r>
    </w:p>
    <w:p w:rsidR="00000000" w:rsidDel="00000000" w:rsidP="00000000" w:rsidRDefault="00000000" w:rsidRPr="00000000" w14:paraId="000002DF">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2E0">
      <w:pPr>
        <w:widowControl w:val="1"/>
        <w:spacing w:after="60" w:before="60" w:line="276" w:lineRule="auto"/>
        <w:jc w:val="both"/>
        <w:rPr>
          <w:rFonts w:ascii="Titillium" w:cs="Titillium" w:eastAsia="Titillium" w:hAnsi="Titillium"/>
          <w:b w:val="1"/>
          <w:i w:val="1"/>
          <w:sz w:val="18"/>
          <w:szCs w:val="18"/>
        </w:rPr>
      </w:pPr>
      <w:r w:rsidDel="00000000" w:rsidR="00000000" w:rsidRPr="00000000">
        <w:rPr>
          <w:rFonts w:ascii="Titillium" w:cs="Titillium" w:eastAsia="Titillium" w:hAnsi="Titillium"/>
          <w:sz w:val="18"/>
          <w:szCs w:val="18"/>
          <w:rtl w:val="0"/>
        </w:rPr>
        <w:t xml:space="preserve">La commissione, terminata l’attribuzione dei coefficienti agli elementi qualitativi e quantitativi, procede, in relazione a ciascuna offerta, all’attribuzione dei punteggi per ogni singolo criterio secondo il  </w:t>
      </w:r>
      <w:r w:rsidDel="00000000" w:rsidR="00000000" w:rsidRPr="00000000">
        <w:rPr>
          <w:rFonts w:ascii="Titillium" w:cs="Titillium" w:eastAsia="Titillium" w:hAnsi="Titillium"/>
          <w:b w:val="1"/>
          <w:i w:val="1"/>
          <w:sz w:val="18"/>
          <w:szCs w:val="18"/>
          <w:rtl w:val="0"/>
        </w:rPr>
        <w:t xml:space="preserve">metodo aggregativo-compensatore.</w:t>
      </w:r>
    </w:p>
    <w:p w:rsidR="00000000" w:rsidDel="00000000" w:rsidP="00000000" w:rsidRDefault="00000000" w:rsidRPr="00000000" w14:paraId="000002E1">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b w:val="1"/>
          <w:i w:val="1"/>
          <w:sz w:val="18"/>
          <w:szCs w:val="18"/>
          <w:rtl w:val="0"/>
        </w:rPr>
        <w:t xml:space="preserve"> </w:t>
      </w:r>
      <w:r w:rsidDel="00000000" w:rsidR="00000000" w:rsidRPr="00000000">
        <w:rPr>
          <w:rFonts w:ascii="Titillium" w:cs="Titillium" w:eastAsia="Titillium" w:hAnsi="Titillium"/>
          <w:sz w:val="18"/>
          <w:szCs w:val="18"/>
          <w:rtl w:val="0"/>
        </w:rPr>
        <w:t xml:space="preserve">Il punteggio per il concorrente </w:t>
      </w:r>
      <w:r w:rsidDel="00000000" w:rsidR="00000000" w:rsidRPr="00000000">
        <w:rPr>
          <w:rFonts w:ascii="Titillium" w:cs="Titillium" w:eastAsia="Titillium" w:hAnsi="Titillium"/>
          <w:i w:val="1"/>
          <w:sz w:val="18"/>
          <w:szCs w:val="18"/>
          <w:rtl w:val="0"/>
        </w:rPr>
        <w:t xml:space="preserve">i-esimo</w:t>
      </w:r>
      <w:r w:rsidDel="00000000" w:rsidR="00000000" w:rsidRPr="00000000">
        <w:rPr>
          <w:rFonts w:ascii="Titillium" w:cs="Titillium" w:eastAsia="Titillium" w:hAnsi="Titillium"/>
          <w:sz w:val="18"/>
          <w:szCs w:val="18"/>
          <w:rtl w:val="0"/>
        </w:rPr>
        <w:t xml:space="preserve"> è dato dalla seguente formula:</w:t>
      </w:r>
      <w:r w:rsidDel="00000000" w:rsidR="00000000" w:rsidRPr="00000000">
        <w:rPr>
          <w:rtl w:val="0"/>
        </w:rPr>
      </w:r>
    </w:p>
    <w:p w:rsidR="00000000" w:rsidDel="00000000" w:rsidP="00000000" w:rsidRDefault="00000000" w:rsidRPr="00000000" w14:paraId="000002E2">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x=1</m:t>
            </m:r>
          </m:sub>
          <m:sup>
            <m:r>
              <w:rPr>
                <w:rFonts w:ascii="Cambria Math" w:cs="Cambria Math" w:eastAsia="Cambria Math" w:hAnsi="Cambria Math"/>
              </w:rPr>
              <m:t xml:space="preserve">n</m:t>
            </m:r>
          </m:sup>
        </m:nary>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xi</m:t>
            </m:r>
          </m:sub>
        </m:sSub>
        <m:r>
          <w:rPr>
            <w:rFonts w:ascii="Cambria Math" w:cs="Cambria Math" w:eastAsia="Cambria Math" w:hAnsi="Cambria Math"/>
          </w:rPr>
          <m:t>∙</m:t>
        </m:r>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x</m:t>
            </m:r>
          </m:sub>
        </m:sSub>
      </m:oMath>
      <w:r w:rsidDel="00000000" w:rsidR="00000000" w:rsidRPr="00000000">
        <w:rPr>
          <w:rtl w:val="0"/>
        </w:rPr>
      </w:r>
    </w:p>
    <w:p w:rsidR="00000000" w:rsidDel="00000000" w:rsidP="00000000" w:rsidRDefault="00000000" w:rsidRPr="00000000" w14:paraId="000002E3">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dove</w:t>
      </w:r>
    </w:p>
    <w:p w:rsidR="00000000" w:rsidDel="00000000" w:rsidP="00000000" w:rsidRDefault="00000000" w:rsidRPr="00000000" w14:paraId="000002E4">
      <w:pPr>
        <w:widowControl w:val="1"/>
        <w:spacing w:after="60" w:before="60" w:line="276" w:lineRule="auto"/>
        <w:jc w:val="both"/>
        <w:rPr>
          <w:rFonts w:ascii="Garamond" w:cs="Garamond" w:eastAsia="Garamond" w:hAnsi="Garamond"/>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i</m:t>
            </m:r>
          </m:sub>
        </m:sSub>
      </m:oMath>
      <w:r w:rsidDel="00000000" w:rsidR="00000000" w:rsidRPr="00000000">
        <w:rPr>
          <w:rFonts w:ascii="Titillium" w:cs="Titillium" w:eastAsia="Titillium" w:hAnsi="Titillium"/>
          <w:sz w:val="18"/>
          <w:szCs w:val="18"/>
          <w:rtl w:val="0"/>
        </w:rPr>
        <w:t xml:space="preserve">= punteggio del concorrente </w:t>
      </w:r>
      <w:r w:rsidDel="00000000" w:rsidR="00000000" w:rsidRPr="00000000">
        <w:rPr>
          <w:rFonts w:ascii="Titillium" w:cs="Titillium" w:eastAsia="Titillium" w:hAnsi="Titillium"/>
          <w:i w:val="1"/>
          <w:sz w:val="18"/>
          <w:szCs w:val="18"/>
          <w:rtl w:val="0"/>
        </w:rPr>
        <w:t xml:space="preserve">i-esimo</w:t>
      </w:r>
      <w:r w:rsidDel="00000000" w:rsidR="00000000" w:rsidRPr="00000000">
        <w:rPr>
          <w:rtl w:val="0"/>
        </w:rPr>
      </w:r>
    </w:p>
    <w:p w:rsidR="00000000" w:rsidDel="00000000" w:rsidP="00000000" w:rsidRDefault="00000000" w:rsidRPr="00000000" w14:paraId="000002E5">
      <w:pPr>
        <w:widowControl w:val="1"/>
        <w:spacing w:after="60" w:before="60" w:line="276" w:lineRule="auto"/>
        <w:jc w:val="both"/>
        <w:rPr>
          <w:rFonts w:ascii="Garamond" w:cs="Garamond" w:eastAsia="Garamond" w:hAnsi="Garamond"/>
        </w:rPr>
      </w:pPr>
      <m:oMath>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xi</m:t>
            </m:r>
          </m:sub>
        </m:sSub>
      </m:oMath>
      <w:r w:rsidDel="00000000" w:rsidR="00000000" w:rsidRPr="00000000">
        <w:rPr>
          <w:rFonts w:ascii="Titillium" w:cs="Titillium" w:eastAsia="Titillium" w:hAnsi="Titillium"/>
          <w:sz w:val="18"/>
          <w:szCs w:val="18"/>
          <w:rtl w:val="0"/>
        </w:rPr>
        <w:t xml:space="preserve"> = coefficiente criterio di valutazione X per il concorrente </w:t>
      </w:r>
      <w:r w:rsidDel="00000000" w:rsidR="00000000" w:rsidRPr="00000000">
        <w:rPr>
          <w:rFonts w:ascii="Titillium" w:cs="Titillium" w:eastAsia="Titillium" w:hAnsi="Titillium"/>
          <w:i w:val="1"/>
          <w:sz w:val="18"/>
          <w:szCs w:val="18"/>
          <w:rtl w:val="0"/>
        </w:rPr>
        <w:t xml:space="preserve">i-esimo</w:t>
      </w:r>
      <w:r w:rsidDel="00000000" w:rsidR="00000000" w:rsidRPr="00000000">
        <w:rPr>
          <w:rtl w:val="0"/>
        </w:rPr>
      </w:r>
    </w:p>
    <w:p w:rsidR="00000000" w:rsidDel="00000000" w:rsidP="00000000" w:rsidRDefault="00000000" w:rsidRPr="00000000" w14:paraId="000002E6">
      <w:pPr>
        <w:widowControl w:val="1"/>
        <w:spacing w:after="60" w:before="60" w:line="276" w:lineRule="auto"/>
        <w:jc w:val="both"/>
        <w:rPr>
          <w:rFonts w:ascii="Garamond" w:cs="Garamond" w:eastAsia="Garamond" w:hAnsi="Garamond"/>
        </w:rPr>
      </w:pPr>
      <m:oMath>
        <m:sSub>
          <m:sSubPr>
            <m:ctrlPr>
              <w:rPr>
                <w:rFonts w:ascii="Cambria Math" w:cs="Cambria Math" w:eastAsia="Cambria Math" w:hAnsi="Cambria Math"/>
              </w:rPr>
            </m:ctrlPr>
          </m:sSubPr>
          <m:e>
            <m:r>
              <w:rPr>
                <w:rFonts w:ascii="Cambria Math" w:cs="Cambria Math" w:eastAsia="Cambria Math" w:hAnsi="Cambria Math"/>
              </w:rPr>
              <m:t xml:space="preserve">P</m:t>
            </m:r>
          </m:e>
          <m:sub>
            <m:r>
              <w:rPr>
                <w:rFonts w:ascii="Cambria Math" w:cs="Cambria Math" w:eastAsia="Cambria Math" w:hAnsi="Cambria Math"/>
              </w:rPr>
              <m:t xml:space="preserve">x</m:t>
            </m:r>
          </m:sub>
        </m:sSub>
        <m:r>
          <w:rPr>
            <w:rFonts w:ascii="Cambria Math" w:cs="Cambria Math" w:eastAsia="Cambria Math" w:hAnsi="Cambria Math"/>
          </w:rPr>
          <m:t xml:space="preserve">=</m:t>
        </m:r>
      </m:oMath>
      <w:r w:rsidDel="00000000" w:rsidR="00000000" w:rsidRPr="00000000">
        <w:rPr>
          <w:rFonts w:ascii="Titillium" w:cs="Titillium" w:eastAsia="Titillium" w:hAnsi="Titillium"/>
          <w:sz w:val="18"/>
          <w:szCs w:val="18"/>
          <w:rtl w:val="0"/>
        </w:rPr>
        <w:t xml:space="preserve"> punteggio criterio X</w:t>
      </w:r>
      <w:r w:rsidDel="00000000" w:rsidR="00000000" w:rsidRPr="00000000">
        <w:rPr>
          <w:rtl w:val="0"/>
        </w:rPr>
      </w:r>
    </w:p>
    <w:p w:rsidR="00000000" w:rsidDel="00000000" w:rsidP="00000000" w:rsidRDefault="00000000" w:rsidRPr="00000000" w14:paraId="000002E7">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X = 1, 2, …, n [con n pari al</w:t>
      </w:r>
      <w:r w:rsidDel="00000000" w:rsidR="00000000" w:rsidRPr="00000000">
        <w:rPr>
          <w:rFonts w:ascii="Titillium" w:cs="Titillium" w:eastAsia="Titillium" w:hAnsi="Titillium"/>
          <w:i w:val="1"/>
          <w:sz w:val="18"/>
          <w:szCs w:val="18"/>
          <w:rtl w:val="0"/>
        </w:rPr>
        <w:t xml:space="preserve"> numero di criteri di valutazione</w:t>
      </w:r>
      <w:r w:rsidDel="00000000" w:rsidR="00000000" w:rsidRPr="00000000">
        <w:rPr>
          <w:rFonts w:ascii="Titillium" w:cs="Titillium" w:eastAsia="Titillium" w:hAnsi="Titillium"/>
          <w:sz w:val="18"/>
          <w:szCs w:val="18"/>
          <w:rtl w:val="0"/>
        </w:rPr>
        <w:t xml:space="preserve">].</w:t>
      </w:r>
      <w:r w:rsidDel="00000000" w:rsidR="00000000" w:rsidRPr="00000000">
        <w:rPr>
          <w:rtl w:val="0"/>
        </w:rPr>
      </w:r>
    </w:p>
    <w:p w:rsidR="00000000" w:rsidDel="00000000" w:rsidP="00000000" w:rsidRDefault="00000000" w:rsidRPr="00000000" w14:paraId="000002E8">
      <w:pPr>
        <w:widowControl w:val="1"/>
        <w:spacing w:after="60" w:before="120" w:line="276" w:lineRule="auto"/>
        <w:jc w:val="both"/>
        <w:rPr>
          <w:rFonts w:ascii="Garamond" w:cs="Garamond" w:eastAsia="Garamond" w:hAnsi="Garamond"/>
        </w:rPr>
      </w:pPr>
      <w:bookmarkStart w:colFirst="0" w:colLast="0" w:name="_heading=h.111kx3o" w:id="56"/>
      <w:bookmarkEnd w:id="56"/>
      <w:r w:rsidDel="00000000" w:rsidR="00000000" w:rsidRPr="00000000">
        <w:rPr>
          <w:rFonts w:ascii="Titillium" w:cs="Titillium" w:eastAsia="Titillium" w:hAnsi="Titillium"/>
          <w:sz w:val="18"/>
          <w:szCs w:val="18"/>
          <w:rtl w:val="0"/>
        </w:rPr>
        <w:t xml:space="preserve">Al fine di non alterare i pesi stabiliti tra i vari criteri, se nel singolo criterio nessun concorrente ottiene il punteggio massimo, tale punteggio viene riparametrato attribuendo all’offerta del concorrente che ha ottenuto il punteggio più alto per il criterio il punteggio massimo previsto e alle offerte degli altri concorrenti un punteggio proporzionale decrescente.</w:t>
      </w:r>
      <w:r w:rsidDel="00000000" w:rsidR="00000000" w:rsidRPr="00000000">
        <w:rPr>
          <w:rtl w:val="0"/>
        </w:rPr>
      </w:r>
    </w:p>
    <w:p w:rsidR="00000000" w:rsidDel="00000000" w:rsidP="00000000" w:rsidRDefault="00000000" w:rsidRPr="00000000" w14:paraId="000002E9">
      <w:pPr>
        <w:widowControl w:val="1"/>
        <w:spacing w:after="60" w:before="12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Al fine di non alterare i pesi stabiliti tra i vari criteri, se nel punteggio per l’offerta tecnica complessiva nessun concorrente ottiene il punteggio massimo, tale punteggio viene nuovamente riparametrato attribuendo all’offerta del concorrente che ha ottenuto il punteggio complessivo più alto per l’offerta tecnica il punteggio massimo previsto e alle offerte degli altri concorrenti un punteggio proporzionale decrescente.</w:t>
      </w:r>
      <w:r w:rsidDel="00000000" w:rsidR="00000000" w:rsidRPr="00000000">
        <w:rPr>
          <w:rtl w:val="0"/>
        </w:rPr>
      </w:r>
    </w:p>
    <w:p w:rsidR="00000000" w:rsidDel="00000000" w:rsidP="00000000" w:rsidRDefault="00000000" w:rsidRPr="00000000" w14:paraId="000002EA">
      <w:pPr>
        <w:spacing w:after="60" w:before="60" w:line="276" w:lineRule="auto"/>
        <w:jc w:val="both"/>
        <w:rPr>
          <w:rFonts w:ascii="Titillium" w:cs="Titillium" w:eastAsia="Titillium" w:hAnsi="Titillium"/>
          <w:color w:val="000000"/>
          <w:sz w:val="18"/>
          <w:szCs w:val="18"/>
        </w:rPr>
      </w:pPr>
      <w:r w:rsidDel="00000000" w:rsidR="00000000" w:rsidRPr="00000000">
        <w:rPr>
          <w:rtl w:val="0"/>
        </w:rPr>
      </w:r>
    </w:p>
    <w:p w:rsidR="00000000" w:rsidDel="00000000" w:rsidP="00000000" w:rsidRDefault="00000000" w:rsidRPr="00000000" w14:paraId="000002EB">
      <w:pPr>
        <w:keepNext w:val="1"/>
        <w:widowControl w:val="1"/>
        <w:numPr>
          <w:ilvl w:val="0"/>
          <w:numId w:val="22"/>
        </w:numPr>
        <w:tabs>
          <w:tab w:val="left" w:leader="none" w:pos="6521"/>
        </w:tabs>
        <w:spacing w:after="60" w:before="60" w:line="276" w:lineRule="auto"/>
        <w:ind w:left="357" w:hanging="357"/>
        <w:jc w:val="both"/>
        <w:rPr>
          <w:rFonts w:ascii="Titillium" w:cs="Titillium" w:eastAsia="Titillium" w:hAnsi="Titillium"/>
          <w:b w:val="1"/>
          <w:smallCaps w:val="1"/>
          <w:sz w:val="18"/>
          <w:szCs w:val="18"/>
        </w:rPr>
      </w:pPr>
      <w:bookmarkStart w:colFirst="0" w:colLast="0" w:name="_heading=h.3l18frh" w:id="57"/>
      <w:bookmarkEnd w:id="57"/>
      <w:r w:rsidDel="00000000" w:rsidR="00000000" w:rsidRPr="00000000">
        <w:rPr>
          <w:rFonts w:ascii="Titillium" w:cs="Titillium" w:eastAsia="Titillium" w:hAnsi="Titillium"/>
          <w:b w:val="1"/>
          <w:smallCaps w:val="1"/>
          <w:sz w:val="18"/>
          <w:szCs w:val="18"/>
          <w:rtl w:val="0"/>
        </w:rPr>
        <w:t xml:space="preserve">COMMISSIONE GIUDICATRICE</w:t>
      </w:r>
    </w:p>
    <w:p w:rsidR="00000000" w:rsidDel="00000000" w:rsidP="00000000" w:rsidRDefault="00000000" w:rsidRPr="00000000" w14:paraId="000002EC">
      <w:pPr>
        <w:widowControl w:val="1"/>
        <w:tabs>
          <w:tab w:val="left" w:leader="none" w:pos="6521"/>
        </w:tabs>
        <w:spacing w:after="60" w:before="12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commissione giudicatrice è nominata dopo la scadenza del termine per la presentazione delle offerte ed è composta da un numero dispari pari a n. 3 membri, esperti nello specifico settore cui si riferisce l’oggetto del contratto. In capo ai commissari non devono sussistere cause ostative alla nomina ai sensi dell’articolo 93 comma 5 del Codice. A tal fine viene richiesta, prima del conferimento dell’incarico, apposita dichiarazione. </w:t>
      </w:r>
      <w:r w:rsidDel="00000000" w:rsidR="00000000" w:rsidRPr="00000000">
        <w:rPr>
          <w:rtl w:val="0"/>
        </w:rPr>
      </w:r>
    </w:p>
    <w:p w:rsidR="00000000" w:rsidDel="00000000" w:rsidP="00000000" w:rsidRDefault="00000000" w:rsidRPr="00000000" w14:paraId="000002ED">
      <w:pPr>
        <w:spacing w:after="60" w:before="60" w:line="276" w:lineRule="auto"/>
        <w:jc w:val="both"/>
        <w:rPr>
          <w:rFonts w:ascii="Book Antiqua" w:cs="Book Antiqua" w:eastAsia="Book Antiqua" w:hAnsi="Book Antiqua"/>
          <w:color w:val="000000"/>
        </w:rPr>
      </w:pPr>
      <w:r w:rsidDel="00000000" w:rsidR="00000000" w:rsidRPr="00000000">
        <w:rPr>
          <w:rFonts w:ascii="Titillium" w:cs="Titillium" w:eastAsia="Titillium" w:hAnsi="Titillium"/>
          <w:color w:val="000000"/>
          <w:sz w:val="18"/>
          <w:szCs w:val="18"/>
          <w:rtl w:val="0"/>
        </w:rPr>
        <w:t xml:space="preserve">La composizione della commissione giudicatrice e i curricula dei componenti sono pubblicati sul sito istituzionale nella sezione “Amministrazione trasparente”.</w:t>
      </w:r>
      <w:r w:rsidDel="00000000" w:rsidR="00000000" w:rsidRPr="00000000">
        <w:rPr>
          <w:rtl w:val="0"/>
        </w:rPr>
      </w:r>
    </w:p>
    <w:p w:rsidR="00000000" w:rsidDel="00000000" w:rsidP="00000000" w:rsidRDefault="00000000" w:rsidRPr="00000000" w14:paraId="000002EE">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commissione giudicatrice è responsabile della valutazione delle offerte tecniche ed economiche dei concorrenti, può riunirsi con modalità telematiche che salvaguardino la riservatezza delle comunicazioni ed opera attraverso la piattaforma di approvvigionamento digitale. </w:t>
      </w:r>
    </w:p>
    <w:p w:rsidR="00000000" w:rsidDel="00000000" w:rsidP="00000000" w:rsidRDefault="00000000" w:rsidRPr="00000000" w14:paraId="000002EF">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RUP si avvale dell’ausilio della commissione giudicatrice ai fini della verifica della documentazione amministrativa e dell’anomalia delle offerte.</w:t>
      </w:r>
    </w:p>
    <w:p w:rsidR="00000000" w:rsidDel="00000000" w:rsidP="00000000" w:rsidRDefault="00000000" w:rsidRPr="00000000" w14:paraId="000002F0">
      <w:pPr>
        <w:widowControl w:val="1"/>
        <w:tabs>
          <w:tab w:val="left" w:leader="none" w:pos="851"/>
        </w:tabs>
        <w:spacing w:after="60" w:before="60" w:line="276" w:lineRule="auto"/>
        <w:jc w:val="both"/>
        <w:rPr>
          <w:rFonts w:ascii="Titillium" w:cs="Titillium" w:eastAsia="Titillium" w:hAnsi="Titillium"/>
        </w:rPr>
      </w:pPr>
      <w:r w:rsidDel="00000000" w:rsidR="00000000" w:rsidRPr="00000000">
        <w:rPr>
          <w:rtl w:val="0"/>
        </w:rPr>
      </w:r>
    </w:p>
    <w:p w:rsidR="00000000" w:rsidDel="00000000" w:rsidP="00000000" w:rsidRDefault="00000000" w:rsidRPr="00000000" w14:paraId="000002F1">
      <w:pPr>
        <w:keepNext w:val="1"/>
        <w:widowControl w:val="1"/>
        <w:numPr>
          <w:ilvl w:val="0"/>
          <w:numId w:val="22"/>
        </w:numPr>
        <w:spacing w:after="60" w:before="60" w:line="276" w:lineRule="auto"/>
        <w:ind w:left="357" w:hanging="357"/>
        <w:jc w:val="both"/>
        <w:rPr>
          <w:rFonts w:ascii="Garamond" w:cs="Garamond" w:eastAsia="Garamond" w:hAnsi="Garamond"/>
          <w:b w:val="1"/>
          <w:smallCaps w:val="1"/>
        </w:rPr>
      </w:pPr>
      <w:bookmarkStart w:colFirst="0" w:colLast="0" w:name="_heading=h.206ipza" w:id="58"/>
      <w:bookmarkEnd w:id="58"/>
      <w:r w:rsidDel="00000000" w:rsidR="00000000" w:rsidRPr="00000000">
        <w:rPr>
          <w:rFonts w:ascii="Titillium" w:cs="Titillium" w:eastAsia="Titillium" w:hAnsi="Titillium"/>
          <w:b w:val="1"/>
          <w:smallCaps w:val="1"/>
          <w:sz w:val="18"/>
          <w:szCs w:val="18"/>
          <w:rtl w:val="0"/>
        </w:rPr>
        <w:t xml:space="preserve">SVOLGIMENTO DELLE OPERAZIONI DI GARA </w:t>
      </w:r>
      <w:r w:rsidDel="00000000" w:rsidR="00000000" w:rsidRPr="00000000">
        <w:rPr>
          <w:rtl w:val="0"/>
        </w:rPr>
      </w:r>
    </w:p>
    <w:p w:rsidR="00000000" w:rsidDel="00000000" w:rsidP="00000000" w:rsidRDefault="00000000" w:rsidRPr="00000000" w14:paraId="000002F2">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b w:val="1"/>
          <w:sz w:val="18"/>
          <w:szCs w:val="18"/>
          <w:rtl w:val="0"/>
        </w:rPr>
        <w:t xml:space="preserve">La prima sessione ha luogo il giorno 13/05/2024, alle ore 10,00</w:t>
      </w:r>
      <w:r w:rsidDel="00000000" w:rsidR="00000000" w:rsidRPr="00000000">
        <w:rPr>
          <w:rFonts w:ascii="Titillium" w:cs="Titillium" w:eastAsia="Titillium" w:hAnsi="Titillium"/>
          <w:sz w:val="18"/>
          <w:szCs w:val="18"/>
          <w:rtl w:val="0"/>
        </w:rPr>
        <w:t xml:space="preserve">.</w:t>
      </w:r>
    </w:p>
    <w:p w:rsidR="00000000" w:rsidDel="00000000" w:rsidP="00000000" w:rsidRDefault="00000000" w:rsidRPr="00000000" w14:paraId="000002F3">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Piattaforma consente lo svolgimento delle sessioni di gara preordinate all’esame:</w:t>
      </w:r>
    </w:p>
    <w:p w:rsidR="00000000" w:rsidDel="00000000" w:rsidP="00000000" w:rsidRDefault="00000000" w:rsidRPr="00000000" w14:paraId="000002F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tab/>
        <w:t xml:space="preserve">della documentazione amministrativa;</w:t>
      </w:r>
    </w:p>
    <w:p w:rsidR="00000000" w:rsidDel="00000000" w:rsidP="00000000" w:rsidRDefault="00000000" w:rsidRPr="00000000" w14:paraId="000002F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tab/>
        <w:t xml:space="preserve">delle offerte tecniche;</w:t>
      </w:r>
    </w:p>
    <w:p w:rsidR="00000000" w:rsidDel="00000000" w:rsidP="00000000" w:rsidRDefault="00000000" w:rsidRPr="00000000" w14:paraId="000002F6">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w:t>
        <w:tab/>
        <w:t xml:space="preserve">delle offerte economiche.</w:t>
      </w:r>
    </w:p>
    <w:p w:rsidR="00000000" w:rsidDel="00000000" w:rsidP="00000000" w:rsidRDefault="00000000" w:rsidRPr="00000000" w14:paraId="000002F7">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piattaforma garantisce il rispetto delle disposizioni del codice in materia di riservatezza delle operazioni e delle informazioni relative alla procedura di gara, nonché il rispetto dei principi di trasparenza.</w:t>
      </w:r>
    </w:p>
    <w:p w:rsidR="00000000" w:rsidDel="00000000" w:rsidP="00000000" w:rsidRDefault="00000000" w:rsidRPr="00000000" w14:paraId="000002F8">
      <w:pPr>
        <w:widowControl w:val="1"/>
        <w:spacing w:after="60" w:before="60" w:line="276" w:lineRule="auto"/>
        <w:jc w:val="both"/>
        <w:rPr>
          <w:rFonts w:ascii="Titillium" w:cs="Titillium" w:eastAsia="Titillium" w:hAnsi="Titillium"/>
          <w:b w:val="1"/>
          <w:sz w:val="18"/>
          <w:szCs w:val="18"/>
        </w:rPr>
      </w:pPr>
      <w:r w:rsidDel="00000000" w:rsidR="00000000" w:rsidRPr="00000000">
        <w:rPr>
          <w:rFonts w:ascii="Titillium" w:cs="Titillium" w:eastAsia="Titillium" w:hAnsi="Titillium"/>
          <w:b w:val="1"/>
          <w:sz w:val="18"/>
          <w:szCs w:val="18"/>
          <w:rtl w:val="0"/>
        </w:rPr>
        <w:t xml:space="preserve">La stazione appaltante ricorrerà all’inversione procedimentale.</w:t>
      </w:r>
    </w:p>
    <w:p w:rsidR="00000000" w:rsidDel="00000000" w:rsidP="00000000" w:rsidRDefault="00000000" w:rsidRPr="00000000" w14:paraId="000002F9">
      <w:pPr>
        <w:widowControl w:val="1"/>
        <w:spacing w:after="60" w:before="60" w:line="276" w:lineRule="auto"/>
        <w:jc w:val="both"/>
        <w:rPr>
          <w:rFonts w:ascii="Titillium" w:cs="Titillium" w:eastAsia="Titillium" w:hAnsi="Titillium"/>
          <w:sz w:val="18"/>
          <w:szCs w:val="18"/>
          <w:u w:val="single"/>
        </w:rPr>
      </w:pPr>
      <w:r w:rsidDel="00000000" w:rsidR="00000000" w:rsidRPr="00000000">
        <w:rPr>
          <w:rFonts w:ascii="Titillium" w:cs="Titillium" w:eastAsia="Titillium" w:hAnsi="Titillium"/>
          <w:sz w:val="18"/>
          <w:szCs w:val="18"/>
          <w:u w:val="single"/>
          <w:rtl w:val="0"/>
        </w:rPr>
        <w:t xml:space="preserve">Con l’inversione procedimentale si procede prima alla valutazione dell’offerta tecnica, poi alla valutazione dell’offerta economica, di tutti i concorrenti, poi, alla verifica della documentazione amministrativa dei concorrenti primo e secondo in graduatoria. </w:t>
      </w:r>
    </w:p>
    <w:p w:rsidR="00000000" w:rsidDel="00000000" w:rsidP="00000000" w:rsidRDefault="00000000" w:rsidRPr="00000000" w14:paraId="000002FA">
      <w:pPr>
        <w:widowControl w:val="1"/>
        <w:spacing w:after="60" w:before="6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FB">
      <w:pPr>
        <w:keepNext w:val="1"/>
        <w:widowControl w:val="1"/>
        <w:numPr>
          <w:ilvl w:val="0"/>
          <w:numId w:val="22"/>
        </w:numPr>
        <w:spacing w:after="60" w:before="60" w:line="276" w:lineRule="auto"/>
        <w:ind w:left="357" w:hanging="357"/>
        <w:jc w:val="both"/>
        <w:rPr>
          <w:rFonts w:ascii="Titillium" w:cs="Titillium" w:eastAsia="Titillium" w:hAnsi="Titillium"/>
          <w:b w:val="1"/>
          <w:smallCaps w:val="1"/>
          <w:sz w:val="18"/>
          <w:szCs w:val="18"/>
        </w:rPr>
      </w:pPr>
      <w:bookmarkStart w:colFirst="0" w:colLast="0" w:name="_heading=h.4k668n3" w:id="59"/>
      <w:bookmarkEnd w:id="59"/>
      <w:r w:rsidDel="00000000" w:rsidR="00000000" w:rsidRPr="00000000">
        <w:rPr>
          <w:rFonts w:ascii="Titillium" w:cs="Titillium" w:eastAsia="Titillium" w:hAnsi="Titillium"/>
          <w:b w:val="1"/>
          <w:smallCaps w:val="1"/>
          <w:sz w:val="18"/>
          <w:szCs w:val="18"/>
          <w:rtl w:val="0"/>
        </w:rPr>
        <w:t xml:space="preserve">VERIFICA DOCUMENTAZIONE AMMINISTRATIVA</w:t>
      </w:r>
    </w:p>
    <w:p w:rsidR="00000000" w:rsidDel="00000000" w:rsidP="00000000" w:rsidRDefault="00000000" w:rsidRPr="00000000" w14:paraId="000002FC">
      <w:pPr>
        <w:widowControl w:val="1"/>
        <w:spacing w:line="276" w:lineRule="auto"/>
        <w:jc w:val="both"/>
        <w:rPr>
          <w:rFonts w:ascii="Titillium" w:cs="Titillium" w:eastAsia="Titillium" w:hAnsi="Titillium"/>
          <w:b w:val="1"/>
          <w:i w:val="1"/>
          <w:sz w:val="18"/>
          <w:szCs w:val="18"/>
        </w:rPr>
      </w:pPr>
      <w:r w:rsidDel="00000000" w:rsidR="00000000" w:rsidRPr="00000000">
        <w:rPr>
          <w:rtl w:val="0"/>
        </w:rPr>
      </w:r>
    </w:p>
    <w:p w:rsidR="00000000" w:rsidDel="00000000" w:rsidP="00000000" w:rsidRDefault="00000000" w:rsidRPr="00000000" w14:paraId="000002F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w:t>
      </w:r>
      <w:r w:rsidDel="00000000" w:rsidR="00000000" w:rsidRPr="00000000">
        <w:rPr>
          <w:rFonts w:ascii="Garamond" w:cs="Garamond" w:eastAsia="Garamond" w:hAnsi="Garamond"/>
          <w:rtl w:val="0"/>
        </w:rPr>
        <w:t xml:space="preserve"> </w:t>
      </w:r>
      <w:r w:rsidDel="00000000" w:rsidR="00000000" w:rsidRPr="00000000">
        <w:rPr>
          <w:rFonts w:ascii="Titillium" w:cs="Titillium" w:eastAsia="Titillium" w:hAnsi="Titillium"/>
          <w:i w:val="1"/>
          <w:sz w:val="18"/>
          <w:szCs w:val="18"/>
          <w:rtl w:val="0"/>
        </w:rPr>
        <w:t xml:space="preserve">RUP </w:t>
      </w:r>
      <w:r w:rsidDel="00000000" w:rsidR="00000000" w:rsidRPr="00000000">
        <w:rPr>
          <w:rFonts w:ascii="Titillium" w:cs="Titillium" w:eastAsia="Titillium" w:hAnsi="Titillium"/>
          <w:sz w:val="18"/>
          <w:szCs w:val="18"/>
          <w:rtl w:val="0"/>
        </w:rPr>
        <w:t xml:space="preserve">procede in relazione al concorrente che ha presentato la migliore offerta a: </w:t>
      </w:r>
    </w:p>
    <w:p w:rsidR="00000000" w:rsidDel="00000000" w:rsidP="00000000" w:rsidRDefault="00000000" w:rsidRPr="00000000" w14:paraId="000002FE">
      <w:pPr>
        <w:widowControl w:val="1"/>
        <w:numPr>
          <w:ilvl w:val="0"/>
          <w:numId w:val="24"/>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controllare la completezza della documentazione amministrativa presentata;</w:t>
      </w:r>
    </w:p>
    <w:p w:rsidR="00000000" w:rsidDel="00000000" w:rsidP="00000000" w:rsidRDefault="00000000" w:rsidRPr="00000000" w14:paraId="000002FF">
      <w:pPr>
        <w:widowControl w:val="1"/>
        <w:numPr>
          <w:ilvl w:val="0"/>
          <w:numId w:val="24"/>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verificare la conformità della documentazione amministrativa a quanto richiesto nel presente disciplinare;</w:t>
      </w:r>
    </w:p>
    <w:p w:rsidR="00000000" w:rsidDel="00000000" w:rsidP="00000000" w:rsidRDefault="00000000" w:rsidRPr="00000000" w14:paraId="00000300">
      <w:pPr>
        <w:widowControl w:val="1"/>
        <w:numPr>
          <w:ilvl w:val="0"/>
          <w:numId w:val="24"/>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attivare la procedura di soccorso istruttorio di cui al precedente punto 14, se necessario; </w:t>
      </w:r>
    </w:p>
    <w:p w:rsidR="00000000" w:rsidDel="00000000" w:rsidP="00000000" w:rsidRDefault="00000000" w:rsidRPr="00000000" w14:paraId="00000301">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Sono sottoposti alla verifica della documentazione amministrativa oltre al concorrente risultato primo anche il secondo in graduatoria.</w:t>
      </w:r>
      <w:r w:rsidDel="00000000" w:rsidR="00000000" w:rsidRPr="00000000">
        <w:rPr>
          <w:rFonts w:ascii="Garamond" w:cs="Garamond" w:eastAsia="Garamond" w:hAnsi="Garamond"/>
          <w:rtl w:val="0"/>
        </w:rPr>
        <w:t xml:space="preserve"> </w:t>
      </w:r>
      <w:r w:rsidDel="00000000" w:rsidR="00000000" w:rsidRPr="00000000">
        <w:rPr>
          <w:rFonts w:ascii="Titillium" w:cs="Titillium" w:eastAsia="Titillium" w:hAnsi="Titillium"/>
          <w:sz w:val="18"/>
          <w:szCs w:val="18"/>
          <w:rtl w:val="0"/>
        </w:rPr>
        <w:t xml:space="preserve">Gli eventuali provvedimenti di esclusione dalla procedura di gara sono comunicati entro cinque giorni dalla loro adozione.</w:t>
      </w:r>
    </w:p>
    <w:p w:rsidR="00000000" w:rsidDel="00000000" w:rsidP="00000000" w:rsidRDefault="00000000" w:rsidRPr="00000000" w14:paraId="00000302">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È fatta salva la possibilità di chiedere agli offerenti, in qualsiasi momento nel corso della procedura, di presentare tutti i documenti complementari o parte di essi, qualora questo sia necessario per assicurare il corretto svolgimento della procedura.</w:t>
      </w:r>
    </w:p>
    <w:p w:rsidR="00000000" w:rsidDel="00000000" w:rsidP="00000000" w:rsidRDefault="00000000" w:rsidRPr="00000000" w14:paraId="00000303">
      <w:pPr>
        <w:widowControl w:val="1"/>
        <w:tabs>
          <w:tab w:val="left" w:leader="none" w:pos="851"/>
        </w:tabs>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304">
      <w:pPr>
        <w:keepNext w:val="1"/>
        <w:widowControl w:val="1"/>
        <w:numPr>
          <w:ilvl w:val="0"/>
          <w:numId w:val="22"/>
        </w:numPr>
        <w:spacing w:after="60" w:before="60" w:line="276" w:lineRule="auto"/>
        <w:ind w:left="357" w:hanging="357"/>
        <w:jc w:val="both"/>
        <w:rPr>
          <w:rFonts w:ascii="Titillium" w:cs="Titillium" w:eastAsia="Titillium" w:hAnsi="Titillium"/>
          <w:b w:val="1"/>
          <w:smallCaps w:val="1"/>
          <w:sz w:val="18"/>
          <w:szCs w:val="18"/>
        </w:rPr>
      </w:pPr>
      <w:bookmarkStart w:colFirst="0" w:colLast="0" w:name="_heading=h.2zbgiuw" w:id="60"/>
      <w:bookmarkEnd w:id="60"/>
      <w:r w:rsidDel="00000000" w:rsidR="00000000" w:rsidRPr="00000000">
        <w:rPr>
          <w:rFonts w:ascii="Titillium" w:cs="Titillium" w:eastAsia="Titillium" w:hAnsi="Titillium"/>
          <w:b w:val="1"/>
          <w:smallCaps w:val="1"/>
          <w:sz w:val="18"/>
          <w:szCs w:val="18"/>
          <w:rtl w:val="0"/>
        </w:rPr>
        <w:t xml:space="preserve">VALUTAZIONE DELLE OFFERTE TECNICHE ED ECONOMICHE</w:t>
      </w:r>
    </w:p>
    <w:p w:rsidR="00000000" w:rsidDel="00000000" w:rsidP="00000000" w:rsidRDefault="00000000" w:rsidRPr="00000000" w14:paraId="0000030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data e l’ora in cui si procede all’apertura delle offerte tecniche sono comunicate tramite la Piattaforma ai concorrenti che hanno presentato la domanda di partecipazione nei termini previsti dal bando di gara. </w:t>
      </w:r>
    </w:p>
    <w:p w:rsidR="00000000" w:rsidDel="00000000" w:rsidP="00000000" w:rsidRDefault="00000000" w:rsidRPr="00000000" w14:paraId="00000306">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commissione giudicatrice procede all’apertura, esame e valutazione delle offerte tecniche e all’assegnazione dei relativi punteggi applicando i criteri e le formule indicati nel bando e nel presente disciplinare. Gli esiti della valutazione sono registrati dalla Piattaforma.</w:t>
      </w:r>
    </w:p>
    <w:p w:rsidR="00000000" w:rsidDel="00000000" w:rsidP="00000000" w:rsidRDefault="00000000" w:rsidRPr="00000000" w14:paraId="00000307">
      <w:pPr>
        <w:widowControl w:val="1"/>
        <w:spacing w:line="276" w:lineRule="auto"/>
        <w:jc w:val="both"/>
        <w:rPr>
          <w:rFonts w:ascii="Titillium" w:cs="Titillium" w:eastAsia="Titillium" w:hAnsi="Titillium"/>
          <w:sz w:val="20"/>
          <w:szCs w:val="20"/>
        </w:rPr>
      </w:pPr>
      <w:r w:rsidDel="00000000" w:rsidR="00000000" w:rsidRPr="00000000">
        <w:rPr>
          <w:rFonts w:ascii="Titillium" w:cs="Titillium" w:eastAsia="Titillium" w:hAnsi="Titillium"/>
          <w:sz w:val="18"/>
          <w:szCs w:val="18"/>
          <w:rtl w:val="0"/>
        </w:rPr>
        <w:t xml:space="preserve">La commissione giudicatrice rende visibile ai concorrenti, con le modalità di cui all’articolo 20: </w:t>
      </w:r>
      <w:r w:rsidDel="00000000" w:rsidR="00000000" w:rsidRPr="00000000">
        <w:rPr>
          <w:rtl w:val="0"/>
        </w:rPr>
      </w:r>
    </w:p>
    <w:p w:rsidR="00000000" w:rsidDel="00000000" w:rsidP="00000000" w:rsidRDefault="00000000" w:rsidRPr="00000000" w14:paraId="00000308">
      <w:pPr>
        <w:widowControl w:val="1"/>
        <w:spacing w:line="276" w:lineRule="auto"/>
        <w:ind w:left="284" w:firstLine="0"/>
        <w:jc w:val="both"/>
        <w:rPr>
          <w:rFonts w:ascii="Titillium" w:cs="Titillium" w:eastAsia="Titillium" w:hAnsi="Titillium"/>
          <w:sz w:val="20"/>
          <w:szCs w:val="20"/>
        </w:rPr>
      </w:pPr>
      <w:r w:rsidDel="00000000" w:rsidR="00000000" w:rsidRPr="00000000">
        <w:rPr>
          <w:rFonts w:ascii="Titillium" w:cs="Titillium" w:eastAsia="Titillium" w:hAnsi="Titillium"/>
          <w:sz w:val="18"/>
          <w:szCs w:val="18"/>
          <w:rtl w:val="0"/>
        </w:rPr>
        <w:t xml:space="preserve">a) i punteggi tecnici attribuiti alle singole offerte tecniche;</w:t>
      </w:r>
      <w:r w:rsidDel="00000000" w:rsidR="00000000" w:rsidRPr="00000000">
        <w:rPr>
          <w:rtl w:val="0"/>
        </w:rPr>
      </w:r>
    </w:p>
    <w:p w:rsidR="00000000" w:rsidDel="00000000" w:rsidP="00000000" w:rsidRDefault="00000000" w:rsidRPr="00000000" w14:paraId="00000309">
      <w:pPr>
        <w:widowControl w:val="1"/>
        <w:spacing w:line="276" w:lineRule="auto"/>
        <w:ind w:left="284" w:firstLine="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b) le eventuali esclusioni dalla gara dei concorrenti.</w:t>
      </w:r>
    </w:p>
    <w:p w:rsidR="00000000" w:rsidDel="00000000" w:rsidP="00000000" w:rsidRDefault="00000000" w:rsidRPr="00000000" w14:paraId="0000030A">
      <w:pPr>
        <w:widowControl w:val="1"/>
        <w:spacing w:line="276" w:lineRule="auto"/>
        <w:jc w:val="both"/>
        <w:rPr>
          <w:rFonts w:ascii="Titillium" w:cs="Titillium" w:eastAsia="Titillium" w:hAnsi="Titillium"/>
          <w:sz w:val="20"/>
          <w:szCs w:val="20"/>
        </w:rPr>
      </w:pPr>
      <w:r w:rsidDel="00000000" w:rsidR="00000000" w:rsidRPr="00000000">
        <w:rPr>
          <w:rFonts w:ascii="Titillium" w:cs="Titillium" w:eastAsia="Titillium" w:hAnsi="Titillium"/>
          <w:sz w:val="18"/>
          <w:szCs w:val="18"/>
          <w:rtl w:val="0"/>
        </w:rPr>
        <w:t xml:space="preserve">Al termine delle operazioni di cui sopra la Piattaforma consente la prosecuzione della procedura ai soli concorrenti ammessi alla valutazione delle offerte economiche. </w:t>
      </w:r>
      <w:r w:rsidDel="00000000" w:rsidR="00000000" w:rsidRPr="00000000">
        <w:rPr>
          <w:rtl w:val="0"/>
        </w:rPr>
      </w:r>
    </w:p>
    <w:p w:rsidR="00000000" w:rsidDel="00000000" w:rsidP="00000000" w:rsidRDefault="00000000" w:rsidRPr="00000000" w14:paraId="0000030B">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commissione giudicatrice procede all’apertura e alla valutazione delle </w:t>
      </w:r>
      <w:r w:rsidDel="00000000" w:rsidR="00000000" w:rsidRPr="00000000">
        <w:rPr>
          <w:rFonts w:ascii="Titilium" w:cs="Titilium" w:eastAsia="Titilium" w:hAnsi="Titilium"/>
          <w:sz w:val="18"/>
          <w:szCs w:val="18"/>
          <w:rtl w:val="0"/>
        </w:rPr>
        <w:t xml:space="preserve">of</w:t>
      </w:r>
      <w:r w:rsidDel="00000000" w:rsidR="00000000" w:rsidRPr="00000000">
        <w:rPr>
          <w:rFonts w:ascii="Titillium" w:cs="Titillium" w:eastAsia="Titillium" w:hAnsi="Titillium"/>
          <w:sz w:val="18"/>
          <w:szCs w:val="18"/>
          <w:rtl w:val="0"/>
        </w:rPr>
        <w:t xml:space="preserve">ferte economiche, secondo i criteri e le modalità descritte nel disciplinare e, successivamente, all’individuazione dell’unico parametro numerico finale per la formulazione della graduatoria. </w:t>
      </w:r>
    </w:p>
    <w:p w:rsidR="00000000" w:rsidDel="00000000" w:rsidP="00000000" w:rsidRDefault="00000000" w:rsidRPr="00000000" w14:paraId="0000030C">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Nel caso in cui le offerte di due o più concorrenti ottengano lo stesso punteggio complessivo, ma punteggi differenti per il prezzo e per tutti gli altri elementi di valutazione, è collocato primo in graduatoria il concorrente che ha ottenuto il miglior punteggio sull’offerta tecnica.</w:t>
      </w:r>
      <w:r w:rsidDel="00000000" w:rsidR="00000000" w:rsidRPr="00000000">
        <w:rPr>
          <w:rtl w:val="0"/>
        </w:rPr>
      </w:r>
    </w:p>
    <w:p w:rsidR="00000000" w:rsidDel="00000000" w:rsidP="00000000" w:rsidRDefault="00000000" w:rsidRPr="00000000" w14:paraId="0000030D">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Nel caso in cui le offerte di due o più concorrenti ottengano lo stesso punteggio complessivo e gli stessi punteggi parziali per il prezzo e per l’offerta tecnica, i predetti concorrenti, su richiesta della stazione appaltante, presentano un’offerta migliorativa sul prezzo entro 1 giorno lavorativo. La richiesta è effettuata attraverso la piattaforma telematica. È collocato primo in graduatoria il concorrente che ha presentato la migliore offerta. Ove permanga l’ex aequo la commissione procede mediante sorteggio ad individuare il concorrente che verrà collocato primo nella graduatoria. La stazione appaltante comunica il giorno e l’ora del sorteggio. </w:t>
      </w:r>
      <w:r w:rsidDel="00000000" w:rsidR="00000000" w:rsidRPr="00000000">
        <w:rPr>
          <w:rtl w:val="0"/>
        </w:rPr>
      </w:r>
    </w:p>
    <w:p w:rsidR="00000000" w:rsidDel="00000000" w:rsidP="00000000" w:rsidRDefault="00000000" w:rsidRPr="00000000" w14:paraId="0000030E">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commissione giudicatrice rende visibile ai concorrenti, con le modalità di cui all’articolo 20 prezzi offerti.</w:t>
      </w:r>
    </w:p>
    <w:p w:rsidR="00000000" w:rsidDel="00000000" w:rsidP="00000000" w:rsidRDefault="00000000" w:rsidRPr="00000000" w14:paraId="0000030F">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All’esito delle operazioni di cui sopra, la commissione, redige la graduatoria.</w:t>
      </w:r>
      <w:r w:rsidDel="00000000" w:rsidR="00000000" w:rsidRPr="00000000">
        <w:rPr>
          <w:rtl w:val="0"/>
        </w:rPr>
      </w:r>
    </w:p>
    <w:p w:rsidR="00000000" w:rsidDel="00000000" w:rsidP="00000000" w:rsidRDefault="00000000" w:rsidRPr="00000000" w14:paraId="00000310">
      <w:pPr>
        <w:widowControl w:val="1"/>
        <w:spacing w:after="60" w:before="6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311">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L’offerta è esclusa in caso di:</w:t>
      </w:r>
      <w:r w:rsidDel="00000000" w:rsidR="00000000" w:rsidRPr="00000000">
        <w:rPr>
          <w:rtl w:val="0"/>
        </w:rPr>
      </w:r>
    </w:p>
    <w:p w:rsidR="00000000" w:rsidDel="00000000" w:rsidP="00000000" w:rsidRDefault="00000000" w:rsidRPr="00000000" w14:paraId="00000312">
      <w:pPr>
        <w:widowControl w:val="1"/>
        <w:numPr>
          <w:ilvl w:val="0"/>
          <w:numId w:val="3"/>
        </w:numPr>
        <w:spacing w:after="60" w:before="60" w:line="276" w:lineRule="auto"/>
        <w:ind w:left="426"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mancata separazione dell’offerta economica dall’offerta tecnica, ovvero inserimento di elementi concernenti il prezzo nella documentazione amministrativa o nell’offerta tecnica;</w:t>
      </w:r>
    </w:p>
    <w:p w:rsidR="00000000" w:rsidDel="00000000" w:rsidP="00000000" w:rsidRDefault="00000000" w:rsidRPr="00000000" w14:paraId="00000313">
      <w:pPr>
        <w:widowControl w:val="1"/>
        <w:numPr>
          <w:ilvl w:val="0"/>
          <w:numId w:val="3"/>
        </w:numPr>
        <w:spacing w:after="60" w:before="60" w:line="276" w:lineRule="auto"/>
        <w:ind w:left="426"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presentazione di</w:t>
      </w:r>
      <w:r w:rsidDel="00000000" w:rsidR="00000000" w:rsidRPr="00000000">
        <w:rPr>
          <w:rFonts w:ascii="Titillium" w:cs="Titillium" w:eastAsia="Titillium" w:hAnsi="Titillium"/>
          <w:b w:val="1"/>
          <w:sz w:val="18"/>
          <w:szCs w:val="18"/>
          <w:rtl w:val="0"/>
        </w:rPr>
        <w:t xml:space="preserve"> </w:t>
      </w:r>
      <w:r w:rsidDel="00000000" w:rsidR="00000000" w:rsidRPr="00000000">
        <w:rPr>
          <w:rFonts w:ascii="Titillium" w:cs="Titillium" w:eastAsia="Titillium" w:hAnsi="Titillium"/>
          <w:sz w:val="18"/>
          <w:szCs w:val="18"/>
          <w:rtl w:val="0"/>
        </w:rPr>
        <w:t xml:space="preserve">offerte parziali, plurime, condizionate, alternative oppure irregolari in quanto non rispettano i documenti di gara, ivi comprese le specifiche tecniche, o anormalmente basse;</w:t>
      </w:r>
      <w:r w:rsidDel="00000000" w:rsidR="00000000" w:rsidRPr="00000000">
        <w:rPr>
          <w:rtl w:val="0"/>
        </w:rPr>
      </w:r>
    </w:p>
    <w:p w:rsidR="00000000" w:rsidDel="00000000" w:rsidP="00000000" w:rsidRDefault="00000000" w:rsidRPr="00000000" w14:paraId="00000314">
      <w:pPr>
        <w:widowControl w:val="1"/>
        <w:numPr>
          <w:ilvl w:val="0"/>
          <w:numId w:val="3"/>
        </w:numPr>
        <w:spacing w:after="60" w:before="60" w:line="276" w:lineRule="auto"/>
        <w:ind w:left="426"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presentazione di offerte inammissibili in quanto la commissione giudicatrice ha ritenuto sussistenti gli estremi per l’informativa alla Procura della Repubblica per reati di corruzione o fenomeni collusivi o ha verificato essere in aumento rispetto all’importo a base di gara;</w:t>
      </w:r>
    </w:p>
    <w:p w:rsidR="00000000" w:rsidDel="00000000" w:rsidP="00000000" w:rsidRDefault="00000000" w:rsidRPr="00000000" w14:paraId="00000315">
      <w:pPr>
        <w:widowControl w:val="1"/>
        <w:numPr>
          <w:ilvl w:val="0"/>
          <w:numId w:val="3"/>
        </w:numPr>
        <w:spacing w:after="60" w:before="60" w:line="276" w:lineRule="auto"/>
        <w:ind w:left="426"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mancato superamento della soglia di sbarramento per l’offerta tecnica. </w:t>
      </w:r>
      <w:r w:rsidDel="00000000" w:rsidR="00000000" w:rsidRPr="00000000">
        <w:rPr>
          <w:rtl w:val="0"/>
        </w:rPr>
      </w:r>
    </w:p>
    <w:p w:rsidR="00000000" w:rsidDel="00000000" w:rsidP="00000000" w:rsidRDefault="00000000" w:rsidRPr="00000000" w14:paraId="00000316">
      <w:pPr>
        <w:keepNext w:val="1"/>
        <w:widowControl w:val="1"/>
        <w:numPr>
          <w:ilvl w:val="0"/>
          <w:numId w:val="22"/>
        </w:numPr>
        <w:spacing w:after="120" w:before="560" w:line="276" w:lineRule="auto"/>
        <w:ind w:left="357" w:hanging="357"/>
        <w:jc w:val="both"/>
        <w:rPr>
          <w:rFonts w:ascii="Titillium" w:cs="Titillium" w:eastAsia="Titillium" w:hAnsi="Titillium"/>
          <w:b w:val="1"/>
          <w:smallCaps w:val="1"/>
          <w:sz w:val="18"/>
          <w:szCs w:val="18"/>
        </w:rPr>
      </w:pPr>
      <w:bookmarkStart w:colFirst="0" w:colLast="0" w:name="_heading=h.1egqt2p" w:id="61"/>
      <w:bookmarkEnd w:id="61"/>
      <w:r w:rsidDel="00000000" w:rsidR="00000000" w:rsidRPr="00000000">
        <w:rPr>
          <w:rFonts w:ascii="Titillium" w:cs="Titillium" w:eastAsia="Titillium" w:hAnsi="Titillium"/>
          <w:b w:val="1"/>
          <w:smallCaps w:val="1"/>
          <w:sz w:val="18"/>
          <w:szCs w:val="18"/>
          <w:rtl w:val="0"/>
        </w:rPr>
        <w:t xml:space="preserve">VERIFICA DI ANOMALIA DELLE OFFERTE</w:t>
      </w:r>
    </w:p>
    <w:p w:rsidR="00000000" w:rsidDel="00000000" w:rsidP="00000000" w:rsidRDefault="00000000" w:rsidRPr="00000000" w14:paraId="00000317">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 stazione appaltante si riserva la facoltà di sottoporre a verifica un’offerta che, in base anche ad altri ad elementi, ivi inclusi i costi della manodopera, appaia anormalmente bassa.</w:t>
      </w:r>
      <w:r w:rsidDel="00000000" w:rsidR="00000000" w:rsidRPr="00000000">
        <w:rPr>
          <w:rtl w:val="0"/>
        </w:rPr>
      </w:r>
    </w:p>
    <w:p w:rsidR="00000000" w:rsidDel="00000000" w:rsidP="00000000" w:rsidRDefault="00000000" w:rsidRPr="00000000" w14:paraId="00000318">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Nel caso in cui la prima migliore offerta appaia anormalmente bassa, il RUP, avvalendosi della commissione giudicatrice, ne valuta la congruità, serietà, sostenibilità e realizzabilità.</w:t>
      </w:r>
    </w:p>
    <w:p w:rsidR="00000000" w:rsidDel="00000000" w:rsidP="00000000" w:rsidRDefault="00000000" w:rsidRPr="00000000" w14:paraId="00000319">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Qualora tale offerta risulti anomala, si procede con le stesse modalità nei confronti delle successive offerte ritenute anormalmente basse, fino ad individuare la migliore offerta ritenuta non anomala. </w:t>
      </w:r>
    </w:p>
    <w:p w:rsidR="00000000" w:rsidDel="00000000" w:rsidP="00000000" w:rsidRDefault="00000000" w:rsidRPr="00000000" w14:paraId="0000031A">
      <w:pPr>
        <w:widowControl w:val="1"/>
        <w:tabs>
          <w:tab w:val="left" w:leader="none" w:pos="0"/>
          <w:tab w:val="left" w:leader="none" w:pos="4340"/>
        </w:tabs>
        <w:spacing w:after="60" w:before="60" w:lineRule="auto"/>
        <w:jc w:val="both"/>
        <w:rPr>
          <w:rFonts w:ascii="Titillium" w:cs="Titillium" w:eastAsia="Titillium" w:hAnsi="Titillium"/>
          <w:sz w:val="20"/>
          <w:szCs w:val="20"/>
        </w:rPr>
      </w:pPr>
      <w:r w:rsidDel="00000000" w:rsidR="00000000" w:rsidRPr="00000000">
        <w:rPr>
          <w:rFonts w:ascii="Titillium" w:cs="Titillium" w:eastAsia="Titillium" w:hAnsi="Titillium"/>
          <w:sz w:val="18"/>
          <w:szCs w:val="18"/>
          <w:rtl w:val="0"/>
        </w:rPr>
        <w:t xml:space="preserve">Il concorrente allega, in sede di presentazione dell’offerta economica, le giustificazioni relative alle voci di prezzo e di costo. La mancata presentazione anticipata delle giustificazioni non è causa di esclusione. </w:t>
      </w:r>
      <w:r w:rsidDel="00000000" w:rsidR="00000000" w:rsidRPr="00000000">
        <w:rPr>
          <w:rtl w:val="0"/>
        </w:rPr>
      </w:r>
    </w:p>
    <w:p w:rsidR="00000000" w:rsidDel="00000000" w:rsidP="00000000" w:rsidRDefault="00000000" w:rsidRPr="00000000" w14:paraId="0000031B">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RUP richiede al concorrente la presentazione delle spiegazioni, se del caso, indicando le componenti specifiche dell’offerta ritenute anomale.</w:t>
      </w:r>
    </w:p>
    <w:p w:rsidR="00000000" w:rsidDel="00000000" w:rsidP="00000000" w:rsidRDefault="00000000" w:rsidRPr="00000000" w14:paraId="0000031C">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 tal fine, assegna un termine non superiore a quindici giorni dal ricevimento della richiesta.</w:t>
      </w:r>
    </w:p>
    <w:p w:rsidR="00000000" w:rsidDel="00000000" w:rsidP="00000000" w:rsidRDefault="00000000" w:rsidRPr="00000000" w14:paraId="0000031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RUP, esaminate le spiegazioni fornite dall’offerente, ove le ritenga non sufficienti ad escludere l’anomalia, può chiedere, anche mediante audizione orale, ulteriori chiarimenti, assegnando un termine perentorio per il riscontro.</w:t>
      </w:r>
    </w:p>
    <w:p w:rsidR="00000000" w:rsidDel="00000000" w:rsidP="00000000" w:rsidRDefault="00000000" w:rsidRPr="00000000" w14:paraId="0000031E">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RUP esclude le offerte che, in base all’esame degli elementi forniti con le spiegazioni risultino, nel complesso, inaffidabili.</w:t>
      </w:r>
    </w:p>
    <w:p w:rsidR="00000000" w:rsidDel="00000000" w:rsidP="00000000" w:rsidRDefault="00000000" w:rsidRPr="00000000" w14:paraId="0000031F">
      <w:pPr>
        <w:keepNext w:val="1"/>
        <w:widowControl w:val="1"/>
        <w:numPr>
          <w:ilvl w:val="0"/>
          <w:numId w:val="28"/>
        </w:numPr>
        <w:spacing w:after="120" w:before="560" w:line="276" w:lineRule="auto"/>
        <w:ind w:left="357" w:hanging="357"/>
        <w:jc w:val="both"/>
        <w:rPr>
          <w:rFonts w:ascii="Garamond" w:cs="Garamond" w:eastAsia="Garamond" w:hAnsi="Garamond"/>
          <w:b w:val="1"/>
          <w:smallCaps w:val="1"/>
        </w:rPr>
      </w:pPr>
      <w:bookmarkStart w:colFirst="0" w:colLast="0" w:name="_heading=h.2dlolyb" w:id="62"/>
      <w:bookmarkEnd w:id="62"/>
      <w:r w:rsidDel="00000000" w:rsidR="00000000" w:rsidRPr="00000000">
        <w:rPr>
          <w:rFonts w:ascii="Titillium" w:cs="Titillium" w:eastAsia="Titillium" w:hAnsi="Titillium"/>
          <w:b w:val="1"/>
          <w:smallCaps w:val="1"/>
          <w:sz w:val="18"/>
          <w:szCs w:val="18"/>
          <w:rtl w:val="0"/>
        </w:rPr>
        <w:t xml:space="preserve">AGGIUDICAZIONE </w:t>
      </w:r>
      <w:r w:rsidDel="00000000" w:rsidR="00000000" w:rsidRPr="00000000">
        <w:rPr>
          <w:rFonts w:ascii="Titillium" w:cs="Titillium" w:eastAsia="Titillium" w:hAnsi="Titillium"/>
          <w:b w:val="1"/>
          <w:sz w:val="18"/>
          <w:szCs w:val="18"/>
          <w:rtl w:val="0"/>
        </w:rPr>
        <w:t xml:space="preserve">DELL’APPALTO E STIPULA </w:t>
      </w:r>
      <w:r w:rsidDel="00000000" w:rsidR="00000000" w:rsidRPr="00000000">
        <w:rPr>
          <w:rFonts w:ascii="Titillium" w:cs="Titillium" w:eastAsia="Titillium" w:hAnsi="Titillium"/>
          <w:b w:val="1"/>
          <w:smallCaps w:val="1"/>
          <w:sz w:val="18"/>
          <w:szCs w:val="18"/>
          <w:rtl w:val="0"/>
        </w:rPr>
        <w:t xml:space="preserve">DEL CONTRATTO</w:t>
      </w:r>
      <w:r w:rsidDel="00000000" w:rsidR="00000000" w:rsidRPr="00000000">
        <w:rPr>
          <w:rtl w:val="0"/>
        </w:rPr>
      </w:r>
    </w:p>
    <w:p w:rsidR="00000000" w:rsidDel="00000000" w:rsidP="00000000" w:rsidRDefault="00000000" w:rsidRPr="00000000" w14:paraId="00000320">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proposta di aggiudicazione è formulata in favore del concorrente che ha presentato la migliore offerta. </w:t>
      </w:r>
    </w:p>
    <w:p w:rsidR="00000000" w:rsidDel="00000000" w:rsidP="00000000" w:rsidRDefault="00000000" w:rsidRPr="00000000" w14:paraId="00000321">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Qualora nessuna offerta risulti conveniente o idonea in relazione all’oggetto del contratto, la stazione appaltante può decidere, entro 30 giorni dalla conclusione delle valutazioni delle offerte, di non procedere all’aggiudicazione.</w:t>
      </w:r>
    </w:p>
    <w:p w:rsidR="00000000" w:rsidDel="00000000" w:rsidP="00000000" w:rsidRDefault="00000000" w:rsidRPr="00000000" w14:paraId="00000322">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RUP procede, laddove non effettuata in sede di verifica di congruità dell’offerta, a verificare:</w:t>
      </w:r>
    </w:p>
    <w:p w:rsidR="00000000" w:rsidDel="00000000" w:rsidP="00000000" w:rsidRDefault="00000000" w:rsidRPr="00000000" w14:paraId="00000323">
      <w:pPr>
        <w:widowControl w:val="1"/>
        <w:numPr>
          <w:ilvl w:val="0"/>
          <w:numId w:val="18"/>
        </w:numPr>
        <w:spacing w:after="60" w:before="60"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l’equivalenza delle tutele nel caso in cui l’aggiudicatario abbia dichiarato di applicare un diverso contratto collettivo nazionale diverso rispetto a quello indicato dalla stazione appaltante e il rispetto di quanto indicato nella clausola sociale per l’applicazione dei contratti collettivi nazionali e territoriali di cui al punto 9 ;</w:t>
      </w:r>
    </w:p>
    <w:p w:rsidR="00000000" w:rsidDel="00000000" w:rsidP="00000000" w:rsidRDefault="00000000" w:rsidRPr="00000000" w14:paraId="00000324">
      <w:pPr>
        <w:widowControl w:val="1"/>
        <w:numPr>
          <w:ilvl w:val="0"/>
          <w:numId w:val="18"/>
        </w:numPr>
        <w:spacing w:after="60" w:before="60" w:line="276" w:lineRule="auto"/>
        <w:ind w:left="720" w:hanging="360"/>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l’attendibilità degli impegni assunti dall’appaltatore in relazione a quanto richiesto dal punto 9 e riguardante la stabilità occupazionale e le pari opportunità generazionali, di genere e di inclusione lavorativa per le persone con disabilità o svantaggiate.</w:t>
      </w:r>
      <w:r w:rsidDel="00000000" w:rsidR="00000000" w:rsidRPr="00000000">
        <w:rPr>
          <w:rtl w:val="0"/>
        </w:rPr>
      </w:r>
    </w:p>
    <w:p w:rsidR="00000000" w:rsidDel="00000000" w:rsidP="00000000" w:rsidRDefault="00000000" w:rsidRPr="00000000" w14:paraId="00000325">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326">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L’aggiudicazione è disposta all’esito positivo della verifica del possesso dei requisiti prescritti dal presente disciplinare ed è immediatamente efficace. In caso di esito negativo delle verifiche, si procede all’esclusione, alla segnalazione all’ANAC, ad incamerare la garanzia provvisoria.</w:t>
      </w:r>
    </w:p>
    <w:p w:rsidR="00000000" w:rsidDel="00000000" w:rsidP="00000000" w:rsidRDefault="00000000" w:rsidRPr="00000000" w14:paraId="00000327">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Successivamente si procede a ricalcolare i punteggi e a riformulare la graduatoria procedendo altresì, alle verifiche nei termini sopra indicati. Nell’ipotesi di ulteriore esito negativo delle verifiche si procede nei termini sopra detti, scorrendo la graduatoria.</w:t>
      </w:r>
    </w:p>
    <w:p w:rsidR="00000000" w:rsidDel="00000000" w:rsidP="00000000" w:rsidRDefault="00000000" w:rsidRPr="00000000" w14:paraId="00000328">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Il contratto è stipulato non prima di 35 giorni dall’invio dell’ultima delle comunicazioni del provvedimento di aggiudicazione e comunque entro 60 giorni dall’aggiudicazione, salvo quanto previsto dall’articolo 18 comma 2 del Codice. </w:t>
      </w:r>
      <w:r w:rsidDel="00000000" w:rsidR="00000000" w:rsidRPr="00000000">
        <w:rPr>
          <w:rtl w:val="0"/>
        </w:rPr>
      </w:r>
    </w:p>
    <w:p w:rsidR="00000000" w:rsidDel="00000000" w:rsidP="00000000" w:rsidRDefault="00000000" w:rsidRPr="00000000" w14:paraId="00000329">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garanzia provvisoria dell’aggiudicatario è svincolata automaticamente al momento della stipula del contratto; la garanzia provvisoria degli altri concorrenti è svincolata con il provvedimento di aggiudicazione e perde, in ogni caso, efficacia entro 30 giorni dall’aggiudicazione.</w:t>
      </w:r>
    </w:p>
    <w:p w:rsidR="00000000" w:rsidDel="00000000" w:rsidP="00000000" w:rsidRDefault="00000000" w:rsidRPr="00000000" w14:paraId="0000032A">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All’atto della stipulazione del contratto, l’aggiudicatario deve presentare la garanzia definitiva da calcolare sull’importo contrattuale, secondo le misure, le modalità ed i casi di esonero previsti dall’articolo 117 del Codice.</w:t>
      </w:r>
    </w:p>
    <w:p w:rsidR="00000000" w:rsidDel="00000000" w:rsidP="00000000" w:rsidRDefault="00000000" w:rsidRPr="00000000" w14:paraId="0000032B">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la stipula del contratto non avviene nel termine per fatto della stazione appaltante, l’aggiudicatario può farne constatare il silenzio inadempimento o, in alternativa, può sciogliersi da ogni vincolo mediante atto notificato. All’aggiudicatario non spetta alcun indennizzo, salvo il rimborso delle spese contrattuali. </w:t>
      </w:r>
    </w:p>
    <w:p w:rsidR="00000000" w:rsidDel="00000000" w:rsidP="00000000" w:rsidRDefault="00000000" w:rsidRPr="00000000" w14:paraId="0000032C">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Se la stipula del contratto non avviene nel termine fissato per fatto dell’aggiudicatario può costituire motivo di revoca dell’aggiudicazione. </w:t>
      </w:r>
    </w:p>
    <w:p w:rsidR="00000000" w:rsidDel="00000000" w:rsidP="00000000" w:rsidRDefault="00000000" w:rsidRPr="00000000" w14:paraId="0000032D">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mancata o tardiva stipula del contratto al di fuori delle ipotesi predette, costituisce violazione del dovere di buona fede, anche in pendenza di contenzioso.</w:t>
      </w:r>
    </w:p>
    <w:p w:rsidR="00000000" w:rsidDel="00000000" w:rsidP="00000000" w:rsidRDefault="00000000" w:rsidRPr="00000000" w14:paraId="0000032E">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L’aggiudicatario deposita, prima o contestualmente alla sottoscrizione del contratto di appalto, i contratti continuativi di cooperazione, servizio e/o fornitura di cui all’articolo 119, comma 3, lett. d) del Codice.</w:t>
      </w:r>
    </w:p>
    <w:p w:rsidR="00000000" w:rsidDel="00000000" w:rsidP="00000000" w:rsidRDefault="00000000" w:rsidRPr="00000000" w14:paraId="0000032F">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L’affidatario comunica, per ogni sub-contratto che non costituisce subappalto, l’importo e l’oggetto del medesimo, nonché il nome del sub-contraente, prima dell’inizio della prestazione.</w:t>
      </w:r>
    </w:p>
    <w:p w:rsidR="00000000" w:rsidDel="00000000" w:rsidP="00000000" w:rsidRDefault="00000000" w:rsidRPr="00000000" w14:paraId="00000330">
      <w:pPr>
        <w:widowControl w:val="1"/>
        <w:spacing w:after="60" w:before="60" w:line="276" w:lineRule="auto"/>
        <w:jc w:val="both"/>
        <w:rPr>
          <w:rFonts w:ascii="Titillium" w:cs="Titillium" w:eastAsia="Titillium" w:hAnsi="Titillium"/>
          <w:i w:val="1"/>
          <w:sz w:val="18"/>
          <w:szCs w:val="18"/>
        </w:rPr>
      </w:pPr>
      <w:r w:rsidDel="00000000" w:rsidR="00000000" w:rsidRPr="00000000">
        <w:rPr>
          <w:rFonts w:ascii="Titillium" w:cs="Titillium" w:eastAsia="Titillium" w:hAnsi="Titillium"/>
          <w:sz w:val="18"/>
          <w:szCs w:val="18"/>
          <w:rtl w:val="0"/>
        </w:rPr>
        <w:t xml:space="preserve">Il contratto è stipulato in forma scritta ai sensi dell’</w:t>
      </w:r>
      <w:hyperlink r:id="rId23">
        <w:r w:rsidDel="00000000" w:rsidR="00000000" w:rsidRPr="00000000">
          <w:rPr>
            <w:rFonts w:ascii="Titillium" w:cs="Titillium" w:eastAsia="Titillium" w:hAnsi="Titillium"/>
            <w:color w:val="000080"/>
            <w:sz w:val="18"/>
            <w:szCs w:val="18"/>
            <w:u w:val="single"/>
            <w:rtl w:val="0"/>
          </w:rPr>
          <w:t xml:space="preserve">allegato I.1, articolo 3, comma 1, lettera b)</w:t>
        </w:r>
      </w:hyperlink>
      <w:r w:rsidDel="00000000" w:rsidR="00000000" w:rsidRPr="00000000">
        <w:rPr>
          <w:rFonts w:ascii="Titillium" w:cs="Titillium" w:eastAsia="Titillium" w:hAnsi="Titillium"/>
          <w:sz w:val="18"/>
          <w:szCs w:val="18"/>
          <w:rtl w:val="0"/>
        </w:rPr>
        <w:t xml:space="preserve"> del d.lgs 36/2023</w:t>
      </w:r>
      <w:r w:rsidDel="00000000" w:rsidR="00000000" w:rsidRPr="00000000">
        <w:rPr>
          <w:rFonts w:ascii="Titillium" w:cs="Titillium" w:eastAsia="Titillium" w:hAnsi="Titillium"/>
          <w:i w:val="1"/>
          <w:sz w:val="18"/>
          <w:szCs w:val="18"/>
          <w:rtl w:val="0"/>
        </w:rPr>
        <w:t xml:space="preserve">.</w:t>
      </w:r>
    </w:p>
    <w:p w:rsidR="00000000" w:rsidDel="00000000" w:rsidP="00000000" w:rsidRDefault="00000000" w:rsidRPr="00000000" w14:paraId="00000331">
      <w:pPr>
        <w:widowControl w:val="1"/>
        <w:spacing w:after="60" w:before="60" w:line="276" w:lineRule="auto"/>
        <w:jc w:val="both"/>
        <w:rPr>
          <w:rFonts w:ascii="Titillium" w:cs="Titillium" w:eastAsia="Titillium" w:hAnsi="Titillium"/>
          <w:b w:val="1"/>
          <w:sz w:val="18"/>
          <w:szCs w:val="18"/>
        </w:rPr>
      </w:pPr>
      <w:r w:rsidDel="00000000" w:rsidR="00000000" w:rsidRPr="00000000">
        <w:rPr>
          <w:rtl w:val="0"/>
        </w:rPr>
      </w:r>
    </w:p>
    <w:p w:rsidR="00000000" w:rsidDel="00000000" w:rsidP="00000000" w:rsidRDefault="00000000" w:rsidRPr="00000000" w14:paraId="00000332">
      <w:pPr>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Sono a carico dell’aggiudicatario tutte le spese contrattuali, gli oneri fiscali quali imposte e tasse - ivi comprese quelle di registro ove dovute - relative alla stipulazione del contratto. </w:t>
      </w:r>
    </w:p>
    <w:p w:rsidR="00000000" w:rsidDel="00000000" w:rsidP="00000000" w:rsidRDefault="00000000" w:rsidRPr="00000000" w14:paraId="00000333">
      <w:pPr>
        <w:keepNext w:val="1"/>
        <w:widowControl w:val="1"/>
        <w:numPr>
          <w:ilvl w:val="0"/>
          <w:numId w:val="28"/>
        </w:numPr>
        <w:spacing w:after="120" w:before="560" w:line="276" w:lineRule="auto"/>
        <w:ind w:left="357" w:hanging="357"/>
        <w:jc w:val="both"/>
        <w:rPr>
          <w:rFonts w:ascii="Garamond" w:cs="Garamond" w:eastAsia="Garamond" w:hAnsi="Garamond"/>
          <w:b w:val="1"/>
          <w:smallCaps w:val="1"/>
        </w:rPr>
      </w:pPr>
      <w:bookmarkStart w:colFirst="0" w:colLast="0" w:name="_heading=h.sqyw64" w:id="63"/>
      <w:bookmarkEnd w:id="63"/>
      <w:r w:rsidDel="00000000" w:rsidR="00000000" w:rsidRPr="00000000">
        <w:rPr>
          <w:rFonts w:ascii="Titillium" w:cs="Titillium" w:eastAsia="Titillium" w:hAnsi="Titillium"/>
          <w:b w:val="1"/>
          <w:sz w:val="18"/>
          <w:szCs w:val="18"/>
          <w:rtl w:val="0"/>
        </w:rPr>
        <w:t xml:space="preserve">OBBLIGHI RELATIVI ALLA TRACCIABILITÀ DEI FLUSSI FINANZIARI </w:t>
      </w:r>
      <w:r w:rsidDel="00000000" w:rsidR="00000000" w:rsidRPr="00000000">
        <w:rPr>
          <w:rtl w:val="0"/>
        </w:rPr>
      </w:r>
    </w:p>
    <w:p w:rsidR="00000000" w:rsidDel="00000000" w:rsidP="00000000" w:rsidRDefault="00000000" w:rsidRPr="00000000" w14:paraId="00000334">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contratto d’appalto è soggetto agli obblighi in tema di tracciabilità dei flussi finanziari di cui alla legge 13 agosto 2010, n. 136.</w:t>
      </w:r>
    </w:p>
    <w:p w:rsidR="00000000" w:rsidDel="00000000" w:rsidP="00000000" w:rsidRDefault="00000000" w:rsidRPr="00000000" w14:paraId="00000335">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L’affidatario deve comunicare alla stazione appaltante:</w:t>
      </w:r>
    </w:p>
    <w:p w:rsidR="00000000" w:rsidDel="00000000" w:rsidP="00000000" w:rsidRDefault="00000000" w:rsidRPr="00000000" w14:paraId="00000336">
      <w:pPr>
        <w:widowControl w:val="1"/>
        <w:numPr>
          <w:ilvl w:val="0"/>
          <w:numId w:val="31"/>
        </w:numPr>
        <w:spacing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gli estremi identificativi dei conti correnti bancari o postali dedicati, con l'indicazione dell'opera/servizio/fornitura alla quale sono dedicati;</w:t>
      </w:r>
    </w:p>
    <w:p w:rsidR="00000000" w:rsidDel="00000000" w:rsidP="00000000" w:rsidRDefault="00000000" w:rsidRPr="00000000" w14:paraId="00000337">
      <w:pPr>
        <w:widowControl w:val="1"/>
        <w:numPr>
          <w:ilvl w:val="0"/>
          <w:numId w:val="31"/>
        </w:numPr>
        <w:spacing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le generalità e il codice fiscale delle persone delegate ad operare sugli stessi;</w:t>
      </w:r>
    </w:p>
    <w:p w:rsidR="00000000" w:rsidDel="00000000" w:rsidP="00000000" w:rsidRDefault="00000000" w:rsidRPr="00000000" w14:paraId="00000338">
      <w:pPr>
        <w:widowControl w:val="1"/>
        <w:numPr>
          <w:ilvl w:val="0"/>
          <w:numId w:val="31"/>
        </w:numPr>
        <w:spacing w:line="276" w:lineRule="auto"/>
        <w:ind w:left="720" w:hanging="360"/>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ogni modifica relativa ai dati trasmessi. </w:t>
      </w:r>
    </w:p>
    <w:p w:rsidR="00000000" w:rsidDel="00000000" w:rsidP="00000000" w:rsidRDefault="00000000" w:rsidRPr="00000000" w14:paraId="00000339">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rsidR="00000000" w:rsidDel="00000000" w:rsidP="00000000" w:rsidRDefault="00000000" w:rsidRPr="00000000" w14:paraId="0000033A">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mancato adempimento agli obblighi previsti per la tracciabilità dei flussi finanziari relativi all’appalto comporta la risoluzione di diritto del contratto. </w:t>
      </w:r>
    </w:p>
    <w:p w:rsidR="00000000" w:rsidDel="00000000" w:rsidP="00000000" w:rsidRDefault="00000000" w:rsidRPr="00000000" w14:paraId="0000033B">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In occasione di ogni pagamento all’appaltatore o di interventi di controllo ulteriori si procede alla verifica dell’assolvimento degli obblighi relativi alla tracciabilità dei flussi finanziari.</w:t>
      </w:r>
    </w:p>
    <w:p w:rsidR="00000000" w:rsidDel="00000000" w:rsidP="00000000" w:rsidRDefault="00000000" w:rsidRPr="00000000" w14:paraId="0000033C">
      <w:pPr>
        <w:widowControl w:val="1"/>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p w:rsidR="00000000" w:rsidDel="00000000" w:rsidP="00000000" w:rsidRDefault="00000000" w:rsidRPr="00000000" w14:paraId="0000033D">
      <w:pPr>
        <w:keepNext w:val="1"/>
        <w:widowControl w:val="1"/>
        <w:numPr>
          <w:ilvl w:val="0"/>
          <w:numId w:val="28"/>
        </w:numPr>
        <w:spacing w:after="120" w:before="560" w:line="276" w:lineRule="auto"/>
        <w:ind w:left="357" w:hanging="357"/>
        <w:jc w:val="both"/>
        <w:rPr>
          <w:rFonts w:ascii="Garamond" w:cs="Garamond" w:eastAsia="Garamond" w:hAnsi="Garamond"/>
          <w:b w:val="1"/>
          <w:smallCaps w:val="1"/>
        </w:rPr>
      </w:pPr>
      <w:bookmarkStart w:colFirst="0" w:colLast="0" w:name="_heading=h.3cqmetx" w:id="64"/>
      <w:bookmarkEnd w:id="64"/>
      <w:r w:rsidDel="00000000" w:rsidR="00000000" w:rsidRPr="00000000">
        <w:rPr>
          <w:rFonts w:ascii="Titillium" w:cs="Titillium" w:eastAsia="Titillium" w:hAnsi="Titillium"/>
          <w:b w:val="1"/>
          <w:sz w:val="18"/>
          <w:szCs w:val="18"/>
          <w:rtl w:val="0"/>
        </w:rPr>
        <w:t xml:space="preserve">CODICE DI COMPORTAMENTO  </w:t>
      </w:r>
      <w:r w:rsidDel="00000000" w:rsidR="00000000" w:rsidRPr="00000000">
        <w:rPr>
          <w:rtl w:val="0"/>
        </w:rPr>
      </w:r>
    </w:p>
    <w:p w:rsidR="00000000" w:rsidDel="00000000" w:rsidP="00000000" w:rsidRDefault="00000000" w:rsidRPr="00000000" w14:paraId="0000033E">
      <w:pPr>
        <w:spacing w:line="280"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Nello svolgimento delle attività oggetto del contratto di appalto, l’aggiudicatario deve uniformarsi ai principi e, per quanto compatibili, ai doveri di condotta richiamati nel Decreto del Presidente della Repubblica 16 aprile 2013 n. 62, modificato dal Decreto del presidente della Repubblica 13 giugno 2023 n. 81, nel codice di comportamento di questa stazione appaltante e nel Piano Triennale di Prevenzione della Corruzione e della Trasparenza aziendale. </w:t>
      </w:r>
      <w:r w:rsidDel="00000000" w:rsidR="00000000" w:rsidRPr="00000000">
        <w:rPr>
          <w:rtl w:val="0"/>
        </w:rPr>
      </w:r>
    </w:p>
    <w:p w:rsidR="00000000" w:rsidDel="00000000" w:rsidP="00000000" w:rsidRDefault="00000000" w:rsidRPr="00000000" w14:paraId="0000033F">
      <w:pPr>
        <w:spacing w:line="280"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In seguito alla comunicazione di aggiudicazione e prima della stipula del contratto, l’aggiudicatario ha l’onere di prendere visione dei predetti documenti pubblicati sul sito della stazione appaltante in Società trasparente al link </w:t>
      </w:r>
      <w:hyperlink r:id="rId24">
        <w:r w:rsidDel="00000000" w:rsidR="00000000" w:rsidRPr="00000000">
          <w:rPr>
            <w:rFonts w:ascii="Titillium" w:cs="Titillium" w:eastAsia="Titillium" w:hAnsi="Titillium"/>
            <w:color w:val="000080"/>
            <w:sz w:val="18"/>
            <w:szCs w:val="18"/>
            <w:u w:val="single"/>
            <w:rtl w:val="0"/>
          </w:rPr>
          <w:t xml:space="preserve">https://sidraspa.portaletrasparenza.net/it/trasparenza/disposizioni-generali.html</w:t>
        </w:r>
      </w:hyperlink>
      <w:r w:rsidDel="00000000" w:rsidR="00000000" w:rsidRPr="00000000">
        <w:rPr>
          <w:rtl w:val="0"/>
        </w:rPr>
      </w:r>
    </w:p>
    <w:p w:rsidR="00000000" w:rsidDel="00000000" w:rsidP="00000000" w:rsidRDefault="00000000" w:rsidRPr="00000000" w14:paraId="00000340">
      <w:pPr>
        <w:keepNext w:val="1"/>
        <w:widowControl w:val="1"/>
        <w:numPr>
          <w:ilvl w:val="0"/>
          <w:numId w:val="28"/>
        </w:numPr>
        <w:spacing w:after="120" w:before="560" w:line="276" w:lineRule="auto"/>
        <w:ind w:left="357" w:hanging="357"/>
        <w:jc w:val="both"/>
        <w:rPr>
          <w:rFonts w:ascii="Titillium" w:cs="Titillium" w:eastAsia="Titillium" w:hAnsi="Titillium"/>
          <w:b w:val="1"/>
          <w:smallCaps w:val="1"/>
          <w:sz w:val="18"/>
          <w:szCs w:val="18"/>
        </w:rPr>
      </w:pPr>
      <w:bookmarkStart w:colFirst="0" w:colLast="0" w:name="_heading=h.1rvwp1q" w:id="65"/>
      <w:bookmarkEnd w:id="65"/>
      <w:r w:rsidDel="00000000" w:rsidR="00000000" w:rsidRPr="00000000">
        <w:rPr>
          <w:rFonts w:ascii="Titillium" w:cs="Titillium" w:eastAsia="Titillium" w:hAnsi="Titillium"/>
          <w:b w:val="1"/>
          <w:smallCaps w:val="1"/>
          <w:sz w:val="18"/>
          <w:szCs w:val="18"/>
          <w:rtl w:val="0"/>
        </w:rPr>
        <w:t xml:space="preserve">ACCESSO AGLI ATTI</w:t>
      </w:r>
    </w:p>
    <w:p w:rsidR="00000000" w:rsidDel="00000000" w:rsidP="00000000" w:rsidRDefault="00000000" w:rsidRPr="00000000" w14:paraId="00000341">
      <w:pPr>
        <w:spacing w:line="280"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L’accesso agli atti della procedura è assicurato in modalità digitale mediante acquisizione diretta dei dati e delle informazioni inseriti nelle piattaforme di e-procurement, nel rispetto di quanto previsto dall’articolo 35 del Codice e dalle vigenti disposizioni in materia di diritto di accesso ai documenti amministrativi, secondo le modalità indicate all’articolo 36 del codice.</w:t>
      </w:r>
    </w:p>
    <w:p w:rsidR="00000000" w:rsidDel="00000000" w:rsidP="00000000" w:rsidRDefault="00000000" w:rsidRPr="00000000" w14:paraId="00000342">
      <w:pPr>
        <w:keepNext w:val="1"/>
        <w:widowControl w:val="1"/>
        <w:numPr>
          <w:ilvl w:val="0"/>
          <w:numId w:val="28"/>
        </w:numPr>
        <w:spacing w:after="120" w:before="560" w:line="276" w:lineRule="auto"/>
        <w:ind w:left="357" w:hanging="357"/>
        <w:jc w:val="both"/>
        <w:rPr>
          <w:rFonts w:ascii="Garamond" w:cs="Garamond" w:eastAsia="Garamond" w:hAnsi="Garamond"/>
          <w:b w:val="1"/>
          <w:smallCaps w:val="1"/>
        </w:rPr>
      </w:pPr>
      <w:bookmarkStart w:colFirst="0" w:colLast="0" w:name="_heading=h.4bvk7pj" w:id="66"/>
      <w:bookmarkEnd w:id="66"/>
      <w:r w:rsidDel="00000000" w:rsidR="00000000" w:rsidRPr="00000000">
        <w:rPr>
          <w:rFonts w:ascii="Titillium" w:cs="Titillium" w:eastAsia="Titillium" w:hAnsi="Titillium"/>
          <w:b w:val="1"/>
          <w:smallCaps w:val="1"/>
          <w:sz w:val="18"/>
          <w:szCs w:val="18"/>
          <w:rtl w:val="0"/>
        </w:rPr>
        <w:t xml:space="preserve">DEFINIZIONE DELLE CONTROVERSIE </w:t>
      </w:r>
      <w:r w:rsidDel="00000000" w:rsidR="00000000" w:rsidRPr="00000000">
        <w:rPr>
          <w:rtl w:val="0"/>
        </w:rPr>
      </w:r>
    </w:p>
    <w:p w:rsidR="00000000" w:rsidDel="00000000" w:rsidP="00000000" w:rsidRDefault="00000000" w:rsidRPr="00000000" w14:paraId="00000343">
      <w:pPr>
        <w:widowControl w:val="1"/>
        <w:spacing w:after="60" w:before="60" w:line="276" w:lineRule="auto"/>
        <w:jc w:val="both"/>
        <w:rPr>
          <w:rFonts w:ascii="Garamond" w:cs="Garamond" w:eastAsia="Garamond" w:hAnsi="Garamond"/>
        </w:rPr>
      </w:pPr>
      <w:r w:rsidDel="00000000" w:rsidR="00000000" w:rsidRPr="00000000">
        <w:rPr>
          <w:rFonts w:ascii="Titillium" w:cs="Titillium" w:eastAsia="Titillium" w:hAnsi="Titillium"/>
          <w:sz w:val="18"/>
          <w:szCs w:val="18"/>
          <w:rtl w:val="0"/>
        </w:rPr>
        <w:t xml:space="preserve">Per le controversie derivanti dalla presente procedura di gara è competente il Tribunale Amministrativo di Catania</w:t>
      </w:r>
      <w:r w:rsidDel="00000000" w:rsidR="00000000" w:rsidRPr="00000000">
        <w:rPr>
          <w:rFonts w:ascii="Garamond" w:cs="Garamond" w:eastAsia="Garamond" w:hAnsi="Garamond"/>
          <w:rtl w:val="0"/>
        </w:rPr>
        <w:t xml:space="preserve">.</w:t>
      </w:r>
    </w:p>
    <w:p w:rsidR="00000000" w:rsidDel="00000000" w:rsidP="00000000" w:rsidRDefault="00000000" w:rsidRPr="00000000" w14:paraId="00000344">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Trova applicazione la disciplina di cui all’articolo 215 del Codice relativamente al collegio consultivo tecnico formato secondo le modalità di cui all’allegato V.2 del Codice, al fine di prevenire le controversie o consentire la rapida risoluzione delle stesse o delle dispute tecniche di ogni natura che possano insorgere nell'esecuzione del contratto. I costi sono ripartiti tra le parti.</w:t>
      </w:r>
    </w:p>
    <w:p w:rsidR="00000000" w:rsidDel="00000000" w:rsidP="00000000" w:rsidRDefault="00000000" w:rsidRPr="00000000" w14:paraId="00000345">
      <w:pPr>
        <w:widowControl w:val="1"/>
        <w:spacing w:after="60" w:before="60"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Il collegio è costituito da n. 3 membri.</w:t>
      </w:r>
    </w:p>
    <w:p w:rsidR="00000000" w:rsidDel="00000000" w:rsidP="00000000" w:rsidRDefault="00000000" w:rsidRPr="00000000" w14:paraId="00000346">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p w:rsidR="00000000" w:rsidDel="00000000" w:rsidP="00000000" w:rsidRDefault="00000000" w:rsidRPr="00000000" w14:paraId="00000347">
      <w:pPr>
        <w:keepNext w:val="1"/>
        <w:widowControl w:val="1"/>
        <w:numPr>
          <w:ilvl w:val="0"/>
          <w:numId w:val="28"/>
        </w:numPr>
        <w:spacing w:after="120" w:before="560" w:line="276" w:lineRule="auto"/>
        <w:ind w:left="357" w:hanging="357"/>
        <w:jc w:val="both"/>
        <w:rPr>
          <w:rFonts w:ascii="Titillium" w:cs="Titillium" w:eastAsia="Titillium" w:hAnsi="Titillium"/>
          <w:b w:val="1"/>
          <w:smallCaps w:val="1"/>
          <w:sz w:val="18"/>
          <w:szCs w:val="18"/>
        </w:rPr>
      </w:pPr>
      <w:bookmarkStart w:colFirst="0" w:colLast="0" w:name="_heading=h.2r0uhxc" w:id="67"/>
      <w:bookmarkEnd w:id="67"/>
      <w:r w:rsidDel="00000000" w:rsidR="00000000" w:rsidRPr="00000000">
        <w:rPr>
          <w:rFonts w:ascii="Titillium" w:cs="Titillium" w:eastAsia="Titillium" w:hAnsi="Titillium"/>
          <w:b w:val="1"/>
          <w:smallCaps w:val="1"/>
          <w:sz w:val="18"/>
          <w:szCs w:val="18"/>
          <w:rtl w:val="0"/>
        </w:rPr>
        <w:t xml:space="preserve">TRATTAMENTO DEI DATI PERSONALI</w:t>
      </w:r>
    </w:p>
    <w:p w:rsidR="00000000" w:rsidDel="00000000" w:rsidP="00000000" w:rsidRDefault="00000000" w:rsidRPr="00000000" w14:paraId="00000348">
      <w:pPr>
        <w:spacing w:line="276" w:lineRule="auto"/>
        <w:jc w:val="both"/>
        <w:rPr>
          <w:rFonts w:ascii="Titillium" w:cs="Titillium" w:eastAsia="Titillium" w:hAnsi="Titillium"/>
          <w:sz w:val="18"/>
          <w:szCs w:val="18"/>
        </w:rPr>
      </w:pPr>
      <w:r w:rsidDel="00000000" w:rsidR="00000000" w:rsidRPr="00000000">
        <w:rPr>
          <w:rFonts w:ascii="Titillium" w:cs="Titillium" w:eastAsia="Titillium" w:hAnsi="Titillium"/>
          <w:sz w:val="18"/>
          <w:szCs w:val="18"/>
          <w:rtl w:val="0"/>
        </w:rPr>
        <w:t xml:space="preserve">I dati raccolti saranno trattati, anche con strumenti informatici e telematici – nel rispetto del Regolamento (UE) 2016/679 e del D. Lgs. n. 196/2003 e s.m.i. (di seguito Codice Privacy), esclusivamente nell’ambito della gara regolata dal presente disciplinare di gara. In particolare, tali dati saranno trattati, anche con strumenti informatici, esclusivamente ai fini della partecipazione alla presente procedura di gara e non verranno né comunicati né diffusi, fatto salvo comunque l’esercizio dei diritti di cui all’articolo 7 del medesimo Decreto. Il trattamento dei dati, di cui l’Aggiudicatario verrà a conoscenza in occasione dell’espletamento del servizio, dovrà avvenire nel rispetto e nella puntuale applicazione del Regolamento (UE) 2016/679 e del D. Lgs. n. 196/2003 e s.m.i.. I titolari del trattamento sono la Stazione Appaltante e le Aziende, nei confronti delle quali l’interessato potrà far valere i diritti previsti dal d.lgs. 196/2003 e ss.mm.ii.</w:t>
      </w:r>
    </w:p>
    <w:p w:rsidR="00000000" w:rsidDel="00000000" w:rsidP="00000000" w:rsidRDefault="00000000" w:rsidRPr="00000000" w14:paraId="00000349">
      <w:pPr>
        <w:widowControl w:val="1"/>
        <w:spacing w:after="60" w:before="60" w:line="276" w:lineRule="auto"/>
        <w:jc w:val="both"/>
        <w:rPr>
          <w:rFonts w:ascii="Titillium" w:cs="Titillium" w:eastAsia="Titillium" w:hAnsi="Titillium"/>
          <w:sz w:val="18"/>
          <w:szCs w:val="18"/>
        </w:rPr>
      </w:pPr>
      <w:r w:rsidDel="00000000" w:rsidR="00000000" w:rsidRPr="00000000">
        <w:rPr>
          <w:rtl w:val="0"/>
        </w:rPr>
      </w:r>
    </w:p>
    <w:sectPr>
      <w:headerReference r:id="rId25" w:type="default"/>
      <w:footerReference r:id="rId26" w:type="default"/>
      <w:pgSz w:h="16838" w:w="11906" w:orient="portrait"/>
      <w:pgMar w:bottom="1701" w:top="2245" w:left="1134" w:right="1134" w:header="1134"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tilium"/>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tillium"/>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ambria Math">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C">
    <w:pPr>
      <w:pBdr>
        <w:top w:space="0" w:sz="0" w:val="nil"/>
        <w:left w:space="0" w:sz="0" w:val="nil"/>
        <w:bottom w:space="0" w:sz="0" w:val="nil"/>
        <w:right w:space="0" w:sz="0" w:val="nil"/>
        <w:between w:space="0" w:sz="0" w:val="nil"/>
      </w:pBdr>
      <w:tabs>
        <w:tab w:val="center" w:leader="none" w:pos="4819"/>
        <w:tab w:val="right" w:leader="none" w:pos="96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D">
    <w:pPr>
      <w:widowControl w:val="1"/>
      <w:tabs>
        <w:tab w:val="left" w:leader="none" w:pos="8805"/>
      </w:tabs>
      <w:spacing w:before="60" w:line="16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A">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66040</wp:posOffset>
          </wp:positionV>
          <wp:extent cx="1606164" cy="413385"/>
          <wp:effectExtent b="0" l="0" r="0" t="0"/>
          <wp:wrapNone/>
          <wp:docPr id="14659478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06164" cy="413385"/>
                  </a:xfrm>
                  <a:prstGeom prst="rect"/>
                  <a:ln/>
                </pic:spPr>
              </pic:pic>
            </a:graphicData>
          </a:graphic>
        </wp:anchor>
      </w:drawing>
    </w:r>
  </w:p>
  <w:p w:rsidR="00000000" w:rsidDel="00000000" w:rsidP="00000000" w:rsidRDefault="00000000" w:rsidRPr="00000000" w14:paraId="0000034B">
    <w:pPr>
      <w:pBdr>
        <w:top w:space="0" w:sz="0" w:val="nil"/>
        <w:left w:space="0" w:sz="0" w:val="nil"/>
        <w:bottom w:space="0" w:sz="0" w:val="nil"/>
        <w:right w:space="0" w:sz="0" w:val="nil"/>
        <w:between w:space="0" w:sz="0" w:val="nil"/>
      </w:pBdr>
      <w:tabs>
        <w:tab w:val="center" w:leader="none" w:pos="4819"/>
        <w:tab w:val="right" w:leader="none" w:pos="96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aramond" w:cs="Garamond" w:eastAsia="Garamond" w:hAnsi="Garamond"/>
        <w:b w:val="1"/>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Garamond" w:cs="Garamond" w:eastAsia="Garamond" w:hAnsi="Garamond"/>
        <w:b w:val="1"/>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146" w:hanging="360"/>
      </w:pPr>
      <w:rPr/>
    </w:lvl>
    <w:lvl w:ilvl="1">
      <w:start w:val="1"/>
      <w:numFmt w:val="bullet"/>
      <w:lvlText w:val="−"/>
      <w:lvlJc w:val="left"/>
      <w:pPr>
        <w:ind w:left="862" w:hanging="360"/>
      </w:pPr>
      <w:rPr>
        <w:rFonts w:ascii="Noto Sans Symbols" w:cs="Noto Sans Symbols" w:eastAsia="Noto Sans Symbols" w:hAnsi="Noto Sans Symbols"/>
      </w:rPr>
    </w:lvl>
    <w:lvl w:ilvl="2">
      <w:start w:val="0"/>
      <w:numFmt w:val="bullet"/>
      <w:lvlText w:val="⮚"/>
      <w:lvlJc w:val="left"/>
      <w:pPr>
        <w:ind w:left="2766" w:hanging="360"/>
      </w:pPr>
      <w:rPr>
        <w:rFonts w:ascii="Noto Sans Symbols" w:cs="Noto Sans Symbols" w:eastAsia="Noto Sans Symbols" w:hAnsi="Noto Sans Symbols"/>
      </w:rPr>
    </w:lvl>
    <w:lvl w:ilvl="3">
      <w:start w:val="0"/>
      <w:numFmt w:val="bullet"/>
      <w:lvlText w:val="♦"/>
      <w:lvlJc w:val="left"/>
      <w:pPr>
        <w:ind w:left="3306" w:hanging="360"/>
      </w:pPr>
      <w:rPr>
        <w:rFonts w:ascii="Noto Sans Symbols" w:cs="Noto Sans Symbols" w:eastAsia="Noto Sans Symbols" w:hAnsi="Noto Sans Symbols"/>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rFonts w:ascii="Titillium" w:cs="Titillium" w:eastAsia="Titillium" w:hAnsi="Titillium"/>
        <w:b w:val="1"/>
        <w:i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360" w:hanging="360"/>
      </w:pPr>
      <w:rPr/>
    </w:lvl>
    <w:lvl w:ilvl="1">
      <w:start w:val="1"/>
      <w:numFmt w:val="decimal"/>
      <w:lvlText w:val="%1.%2."/>
      <w:lvlJc w:val="left"/>
      <w:pPr>
        <w:ind w:left="792" w:hanging="432"/>
      </w:pPr>
      <w:rPr>
        <w:b w:val="0"/>
        <w:i w:val="0"/>
        <w:strike w:val="0"/>
        <w:sz w:val="24"/>
        <w:szCs w:val="24"/>
      </w:rPr>
    </w:lvl>
    <w:lvl w:ilvl="2">
      <w:start w:val="1"/>
      <w:numFmt w:val="decimal"/>
      <w:lvlText w:val="%3)"/>
      <w:lvlJc w:val="left"/>
      <w:pPr>
        <w:ind w:left="504" w:hanging="504"/>
      </w:pPr>
      <w:rPr>
        <w:rFonts w:ascii="Titillium" w:cs="Titillium" w:eastAsia="Titillium" w:hAnsi="Titillium"/>
        <w:b w:val="0"/>
        <w:i w:val="0"/>
        <w:strike w:val="0"/>
        <w:sz w:val="18"/>
        <w:szCs w:val="18"/>
      </w:rPr>
    </w:lvl>
    <w:lvl w:ilvl="3">
      <w:start w:val="1"/>
      <w:numFmt w:val="lowerLetter"/>
      <w:lvlText w:val="%4)"/>
      <w:lvlJc w:val="left"/>
      <w:pPr>
        <w:ind w:left="932" w:hanging="648"/>
      </w:pPr>
      <w:rPr>
        <w:b w:val="0"/>
        <w:strike w:val="0"/>
        <w:color w:val="000000"/>
        <w:sz w:val="24"/>
        <w:szCs w:val="24"/>
      </w:rPr>
    </w:lvl>
    <w:lvl w:ilvl="4">
      <w:start w:val="1"/>
      <w:numFmt w:val="decimal"/>
      <w:lvlText w:val="%1.%2.%3.%4.%5."/>
      <w:lvlJc w:val="left"/>
      <w:pPr>
        <w:ind w:left="2069"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1"/>
      <w:numFmt w:val="bullet"/>
      <w:lvlText w:val="-"/>
      <w:lvlJc w:val="left"/>
      <w:pPr>
        <w:ind w:left="720" w:hanging="360"/>
      </w:pPr>
      <w:rPr>
        <w:rFonts w:ascii="Garamond" w:cs="Garamond" w:eastAsia="Garamond" w:hAnsi="Garamond"/>
        <w:b w:val="1"/>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bullet"/>
      <w:lvlText w:val="-"/>
      <w:lvlJc w:val="left"/>
      <w:pPr>
        <w:ind w:left="1440" w:hanging="360"/>
      </w:pPr>
      <w:rPr>
        <w:rFonts w:ascii="Titilium" w:cs="Titilium" w:eastAsia="Titilium" w:hAnsi="Titilium"/>
        <w:color w:val="000000"/>
        <w:sz w:val="18"/>
        <w:szCs w:val="18"/>
      </w:rPr>
    </w:lvl>
    <w:lvl w:ilvl="2">
      <w:start w:val="1"/>
      <w:numFmt w:val="lowerLetter"/>
      <w:lvlText w:val="%3)"/>
      <w:lvlJc w:val="left"/>
      <w:pPr>
        <w:ind w:left="360" w:hanging="360"/>
      </w:pPr>
      <w:rPr>
        <w:rFonts w:ascii="Titillium" w:cs="Titillium" w:eastAsia="Titillium" w:hAnsi="Titillium"/>
        <w:sz w:val="18"/>
        <w:szCs w:val="18"/>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Garamond" w:cs="Garamond" w:eastAsia="Garamond" w:hAnsi="Garamond"/>
        <w:b w:val="1"/>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3600" w:hanging="360"/>
      </w:pPr>
      <w:rPr>
        <w:rFonts w:ascii="Courier New" w:cs="Courier New" w:eastAsia="Courier New" w:hAnsi="Courier New"/>
      </w:rPr>
    </w:lvl>
    <w:lvl w:ilvl="3">
      <w:start w:val="1"/>
      <w:numFmt w:val="bullet"/>
      <w:lvlText w:val="o"/>
      <w:lvlJc w:val="left"/>
      <w:pPr>
        <w:ind w:left="5760" w:hanging="360"/>
      </w:pPr>
      <w:rPr>
        <w:rFonts w:ascii="Courier New" w:cs="Courier New" w:eastAsia="Courier New" w:hAnsi="Courier New"/>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360" w:hanging="360"/>
      </w:pPr>
      <w:rPr/>
    </w:lvl>
    <w:lvl w:ilvl="1">
      <w:start w:val="1"/>
      <w:numFmt w:val="lowerLetter"/>
      <w:lvlText w:val="%1.%2)"/>
      <w:lvlJc w:val="left"/>
      <w:pPr>
        <w:ind w:left="792" w:hanging="432"/>
      </w:pPr>
      <w:rPr/>
    </w:lvl>
    <w:lvl w:ilvl="2">
      <w:start w:val="1"/>
      <w:numFmt w:val="decimal"/>
      <w:lvlText w:val="%1.%2.%3."/>
      <w:lvlJc w:val="left"/>
      <w:pPr>
        <w:ind w:left="1497" w:hanging="504.0000000000002"/>
      </w:pPr>
      <w:rPr>
        <w:b w:val="0"/>
        <w:i w:val="0"/>
        <w:strike w:val="0"/>
        <w:sz w:val="24"/>
        <w:szCs w:val="24"/>
      </w:rPr>
    </w:lvl>
    <w:lvl w:ilvl="3">
      <w:start w:val="1"/>
      <w:numFmt w:val="lowerLetter"/>
      <w:lvlText w:val="%4."/>
      <w:lvlJc w:val="left"/>
      <w:pPr>
        <w:ind w:left="932" w:hanging="648"/>
      </w:pPr>
      <w:rPr>
        <w:b w:val="0"/>
        <w:strike w:val="0"/>
        <w:color w:val="000000"/>
        <w:sz w:val="18"/>
        <w:szCs w:val="18"/>
      </w:rPr>
    </w:lvl>
    <w:lvl w:ilvl="4">
      <w:start w:val="1"/>
      <w:numFmt w:val="decimal"/>
      <w:lvlText w:val="%1.%2.%3.%4.%5."/>
      <w:lvlJc w:val="left"/>
      <w:pPr>
        <w:ind w:left="2069"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2">
    <w:lvl w:ilvl="0">
      <w:start w:val="1"/>
      <w:numFmt w:val="decimal"/>
      <w:lvlText w:val="%1."/>
      <w:lvlJc w:val="left"/>
      <w:pPr>
        <w:ind w:left="720" w:hanging="360"/>
      </w:pPr>
      <w:rPr/>
    </w:lvl>
    <w:lvl w:ilvl="1">
      <w:start w:val="1"/>
      <w:numFmt w:val="bullet"/>
      <w:lvlText w:val="-"/>
      <w:lvlJc w:val="left"/>
      <w:pPr>
        <w:ind w:left="1440" w:hanging="360"/>
      </w:pPr>
      <w:rPr>
        <w:rFonts w:ascii="Titilium" w:cs="Titilium" w:eastAsia="Titilium" w:hAnsi="Titilium"/>
        <w:color w:val="000000"/>
        <w:sz w:val="18"/>
        <w:szCs w:val="18"/>
      </w:rPr>
    </w:lvl>
    <w:lvl w:ilvl="2">
      <w:start w:val="1"/>
      <w:numFmt w:val="lowerLetter"/>
      <w:lvlText w:val="%3)"/>
      <w:lvlJc w:val="left"/>
      <w:pPr>
        <w:ind w:left="360" w:hanging="360"/>
      </w:pPr>
      <w:rPr>
        <w:rFonts w:ascii="Titillium" w:cs="Titillium" w:eastAsia="Titillium" w:hAnsi="Titillium"/>
        <w:i w:val="0"/>
        <w:color w:val="000000"/>
        <w:sz w:val="18"/>
        <w:szCs w:val="18"/>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rFonts w:ascii="Titillium" w:cs="Titillium" w:eastAsia="Titillium" w:hAnsi="Titillium"/>
        <w:b w:val="0"/>
        <w:i w:val="0"/>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Garamond" w:cs="Garamond" w:eastAsia="Garamond" w:hAnsi="Garamond"/>
        <w:b w:val="1"/>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420" w:hanging="360"/>
      </w:pPr>
      <w:rPr>
        <w:rFonts w:ascii="Garamond" w:cs="Garamond" w:eastAsia="Garamond" w:hAnsi="Garamond"/>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20">
    <w:lvl w:ilvl="0">
      <w:start w:val="1"/>
      <w:numFmt w:val="lowerLetter"/>
      <w:lvlText w:val="%1)"/>
      <w:lvlJc w:val="left"/>
      <w:pPr>
        <w:ind w:left="720" w:hanging="360"/>
      </w:pPr>
      <w:rPr>
        <w:rFonts w:ascii="Titillium" w:cs="Titillium" w:eastAsia="Titillium" w:hAnsi="Titillium"/>
        <w:b w:val="1"/>
        <w:i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
      <w:lvlJc w:val="left"/>
      <w:pPr>
        <w:ind w:left="720" w:hanging="360"/>
      </w:pPr>
      <w:rPr/>
    </w:lvl>
    <w:lvl w:ilvl="1">
      <w:start w:val="1"/>
      <w:numFmt w:val="decimal"/>
      <w:lvlText w:val="%2."/>
      <w:lvlJc w:val="left"/>
      <w:pPr>
        <w:ind w:left="1080" w:hanging="360"/>
      </w:pPr>
      <w:rPr/>
    </w:lvl>
    <w:lvl w:ilvl="2">
      <w:start w:val="1"/>
      <w:numFmt w:val="lowerLetter"/>
      <w:lvlText w:val="%3)"/>
      <w:lvlJc w:val="left"/>
      <w:pPr>
        <w:ind w:left="360" w:hanging="360"/>
      </w:pPr>
      <w:rPr>
        <w:rFonts w:ascii="Titillium" w:cs="Titillium" w:eastAsia="Titillium" w:hAnsi="Titillium"/>
        <w:sz w:val="18"/>
        <w:szCs w:val="18"/>
      </w:rPr>
    </w:lvl>
    <w:lvl w:ilvl="3">
      <w:start w:val="1"/>
      <w:numFmt w:val="decimal"/>
      <w:lvlText w:val="%4."/>
      <w:lvlJc w:val="left"/>
      <w:pPr>
        <w:ind w:left="1800" w:hanging="360"/>
      </w:pPr>
      <w:rPr>
        <w:rFonts w:ascii="Titillium" w:cs="Titillium" w:eastAsia="Titillium" w:hAnsi="Titillium"/>
        <w:sz w:val="18"/>
        <w:szCs w:val="18"/>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2">
    <w:lvl w:ilvl="0">
      <w:start w:val="1"/>
      <w:numFmt w:val="decimal"/>
      <w:lvlText w:val="%1."/>
      <w:lvlJc w:val="left"/>
      <w:pPr>
        <w:ind w:left="360" w:hanging="360"/>
      </w:pPr>
      <w:rPr>
        <w:rFonts w:ascii="Titillium" w:cs="Titillium" w:eastAsia="Titillium" w:hAnsi="Titillium"/>
        <w:b w:val="1"/>
        <w:i w:val="0"/>
        <w:sz w:val="18"/>
        <w:szCs w:val="18"/>
      </w:rPr>
    </w:lvl>
    <w:lvl w:ilvl="1">
      <w:start w:val="1"/>
      <w:numFmt w:val="decimal"/>
      <w:lvlText w:val="%1.%2."/>
      <w:lvlJc w:val="left"/>
      <w:pPr>
        <w:ind w:left="9363" w:hanging="432"/>
      </w:pPr>
      <w:rPr>
        <w:rFonts w:ascii="Titillium" w:cs="Titillium" w:eastAsia="Titillium" w:hAnsi="Titillium"/>
        <w:sz w:val="18"/>
        <w:szCs w:val="18"/>
      </w:rPr>
    </w:lvl>
    <w:lvl w:ilvl="2">
      <w:start w:val="1"/>
      <w:numFmt w:val="decimal"/>
      <w:lvlText w:val="%1.%2.%3."/>
      <w:lvlJc w:val="left"/>
      <w:pPr>
        <w:ind w:left="1224" w:hanging="504"/>
      </w:pPr>
      <w:rPr>
        <w:b w:val="1"/>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23">
    <w:lvl w:ilvl="0">
      <w:start w:val="1"/>
      <w:numFmt w:val="lowerRoman"/>
      <w:lvlText w:val="%1."/>
      <w:lvlJc w:val="right"/>
      <w:pPr>
        <w:ind w:left="1637" w:hanging="360"/>
      </w:pPr>
      <w:rPr>
        <w:color w:val="000000"/>
        <w:sz w:val="18"/>
        <w:szCs w:val="18"/>
      </w:rPr>
    </w:lvl>
    <w:lvl w:ilvl="1">
      <w:start w:val="1"/>
      <w:numFmt w:val="lowerLetter"/>
      <w:lvlText w:val="%2."/>
      <w:lvlJc w:val="left"/>
      <w:pPr>
        <w:ind w:left="2961" w:hanging="360"/>
      </w:pPr>
      <w:rPr/>
    </w:lvl>
    <w:lvl w:ilvl="2">
      <w:start w:val="1"/>
      <w:numFmt w:val="lowerRoman"/>
      <w:lvlText w:val="%3."/>
      <w:lvlJc w:val="right"/>
      <w:pPr>
        <w:ind w:left="3681" w:hanging="180"/>
      </w:pPr>
      <w:rPr/>
    </w:lvl>
    <w:lvl w:ilvl="3">
      <w:start w:val="1"/>
      <w:numFmt w:val="decimal"/>
      <w:lvlText w:val="%4."/>
      <w:lvlJc w:val="left"/>
      <w:pPr>
        <w:ind w:left="4401" w:hanging="360"/>
      </w:pPr>
      <w:rPr/>
    </w:lvl>
    <w:lvl w:ilvl="4">
      <w:start w:val="1"/>
      <w:numFmt w:val="lowerLetter"/>
      <w:lvlText w:val="%5."/>
      <w:lvlJc w:val="left"/>
      <w:pPr>
        <w:ind w:left="5121" w:hanging="360"/>
      </w:pPr>
      <w:rPr/>
    </w:lvl>
    <w:lvl w:ilvl="5">
      <w:start w:val="1"/>
      <w:numFmt w:val="lowerRoman"/>
      <w:lvlText w:val="%6."/>
      <w:lvlJc w:val="right"/>
      <w:pPr>
        <w:ind w:left="5841" w:hanging="180"/>
      </w:pPr>
      <w:rPr/>
    </w:lvl>
    <w:lvl w:ilvl="6">
      <w:start w:val="1"/>
      <w:numFmt w:val="decimal"/>
      <w:lvlText w:val="%7."/>
      <w:lvlJc w:val="left"/>
      <w:pPr>
        <w:ind w:left="6561" w:hanging="360"/>
      </w:pPr>
      <w:rPr/>
    </w:lvl>
    <w:lvl w:ilvl="7">
      <w:start w:val="1"/>
      <w:numFmt w:val="lowerLetter"/>
      <w:lvlText w:val="%8."/>
      <w:lvlJc w:val="left"/>
      <w:pPr>
        <w:ind w:left="7281" w:hanging="360"/>
      </w:pPr>
      <w:rPr/>
    </w:lvl>
    <w:lvl w:ilvl="8">
      <w:start w:val="1"/>
      <w:numFmt w:val="lowerRoman"/>
      <w:lvlText w:val="%9."/>
      <w:lvlJc w:val="right"/>
      <w:pPr>
        <w:ind w:left="8001" w:hanging="180"/>
      </w:pPr>
      <w:rPr/>
    </w:lvl>
  </w:abstractNum>
  <w:abstractNum w:abstractNumId="24">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22"/>
      <w:numFmt w:val="decimal"/>
      <w:lvlText w:val="%1."/>
      <w:lvlJc w:val="left"/>
      <w:pPr>
        <w:ind w:left="360" w:hanging="360"/>
      </w:pPr>
      <w:rPr>
        <w:rFonts w:ascii="Titillium" w:cs="Titillium" w:eastAsia="Titillium" w:hAnsi="Titillium"/>
        <w:b w:val="1"/>
        <w:i w:val="0"/>
        <w:sz w:val="18"/>
        <w:szCs w:val="18"/>
      </w:rPr>
    </w:lvl>
    <w:lvl w:ilvl="1">
      <w:start w:val="1"/>
      <w:numFmt w:val="decimal"/>
      <w:lvlText w:val="%1.%2"/>
      <w:lvlJc w:val="left"/>
      <w:pPr>
        <w:ind w:left="720" w:hanging="720"/>
      </w:pPr>
      <w:rPr/>
    </w:lvl>
    <w:lvl w:ilvl="2">
      <w:start w:val="1"/>
      <w:numFmt w:val="decimal"/>
      <w:lvlText w:val="%1.%2.%3"/>
      <w:lvlJc w:val="left"/>
      <w:pPr>
        <w:ind w:left="720" w:hanging="720"/>
      </w:pPr>
      <w:rPr>
        <w:b w:val="1"/>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9">
    <w:lvl w:ilvl="0">
      <w:start w:val="1"/>
      <w:numFmt w:val="lowerLetter"/>
      <w:lvlText w:val="%1)"/>
      <w:lvlJc w:val="left"/>
      <w:pPr>
        <w:ind w:left="928" w:hanging="360"/>
      </w:pPr>
      <w:rPr>
        <w:rFonts w:ascii="Titillium" w:cs="Titillium" w:eastAsia="Titillium" w:hAnsi="Titillium"/>
        <w:i w:val="0"/>
        <w:sz w:val="18"/>
        <w:szCs w:val="18"/>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30">
    <w:lvl w:ilvl="0">
      <w:start w:val="1"/>
      <w:numFmt w:val="decimal"/>
      <w:lvlText w:val="%1"/>
      <w:lvlJc w:val="left"/>
      <w:pPr>
        <w:ind w:left="360" w:hanging="360"/>
      </w:pPr>
      <w:rPr/>
    </w:lvl>
    <w:lvl w:ilvl="1">
      <w:start w:val="1"/>
      <w:numFmt w:val="decimal"/>
      <w:lvlText w:val="%1.%2"/>
      <w:lvlJc w:val="left"/>
      <w:pPr>
        <w:ind w:left="1068" w:hanging="360"/>
      </w:pPr>
      <w:rPr/>
    </w:lvl>
    <w:lvl w:ilvl="2">
      <w:start w:val="1"/>
      <w:numFmt w:val="decimal"/>
      <w:lvlText w:val="%1.%2.%3"/>
      <w:lvlJc w:val="left"/>
      <w:pPr>
        <w:ind w:left="1776" w:hanging="360"/>
      </w:pPr>
      <w:rPr/>
    </w:lvl>
    <w:lvl w:ilvl="3">
      <w:start w:val="1"/>
      <w:numFmt w:val="decimal"/>
      <w:lvlText w:val="%1.%2.%3.%4"/>
      <w:lvlJc w:val="left"/>
      <w:pPr>
        <w:ind w:left="2844" w:hanging="720"/>
      </w:pPr>
      <w:rPr/>
    </w:lvl>
    <w:lvl w:ilvl="4">
      <w:start w:val="1"/>
      <w:numFmt w:val="decimal"/>
      <w:lvlText w:val="%1.%2.%3.%4.%5"/>
      <w:lvlJc w:val="left"/>
      <w:pPr>
        <w:ind w:left="3552" w:hanging="720"/>
      </w:pPr>
      <w:rPr/>
    </w:lvl>
    <w:lvl w:ilvl="5">
      <w:start w:val="1"/>
      <w:numFmt w:val="decimal"/>
      <w:lvlText w:val="%1.%2.%3.%4.%5.%6"/>
      <w:lvlJc w:val="left"/>
      <w:pPr>
        <w:ind w:left="4620" w:hanging="1080"/>
      </w:pPr>
      <w:rPr/>
    </w:lvl>
    <w:lvl w:ilvl="6">
      <w:start w:val="1"/>
      <w:numFmt w:val="decimal"/>
      <w:lvlText w:val="%1.%2.%3.%4.%5.%6.%7"/>
      <w:lvlJc w:val="left"/>
      <w:pPr>
        <w:ind w:left="5328" w:hanging="1080"/>
      </w:pPr>
      <w:rPr/>
    </w:lvl>
    <w:lvl w:ilvl="7">
      <w:start w:val="1"/>
      <w:numFmt w:val="decimal"/>
      <w:lvlText w:val="%1.%2.%3.%4.%5.%6.%7.%8"/>
      <w:lvlJc w:val="left"/>
      <w:pPr>
        <w:ind w:left="6036" w:hanging="1080"/>
      </w:pPr>
      <w:rPr/>
    </w:lvl>
    <w:lvl w:ilvl="8">
      <w:start w:val="1"/>
      <w:numFmt w:val="decimal"/>
      <w:lvlText w:val="%1.%2.%3.%4.%5.%6.%7.%8.%9"/>
      <w:lvlJc w:val="left"/>
      <w:pPr>
        <w:ind w:left="7104" w:hanging="144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464" w:hanging="180"/>
      </w:pPr>
      <w:rPr>
        <w:rFonts w:ascii="Titillium" w:cs="Titillium" w:eastAsia="Titillium" w:hAnsi="Titillium"/>
        <w:sz w:val="18"/>
        <w:szCs w:val="18"/>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360" w:hanging="360"/>
      </w:pPr>
      <w:rPr/>
    </w:lvl>
    <w:lvl w:ilvl="1">
      <w:start w:val="1"/>
      <w:numFmt w:val="decimal"/>
      <w:lvlText w:val="%1.%2."/>
      <w:lvlJc w:val="left"/>
      <w:pPr>
        <w:ind w:left="792" w:hanging="432"/>
      </w:pPr>
      <w:rPr>
        <w:b w:val="0"/>
        <w:i w:val="0"/>
        <w:sz w:val="24"/>
        <w:szCs w:val="24"/>
      </w:rPr>
    </w:lvl>
    <w:lvl w:ilvl="2">
      <w:start w:val="1"/>
      <w:numFmt w:val="decimal"/>
      <w:lvlText w:val="%1.%2.%3."/>
      <w:lvlJc w:val="left"/>
      <w:pPr>
        <w:ind w:left="788" w:hanging="504"/>
      </w:pPr>
      <w:rPr>
        <w:b w:val="0"/>
        <w:i w:val="0"/>
        <w:strike w:val="0"/>
        <w:sz w:val="24"/>
        <w:szCs w:val="24"/>
      </w:rPr>
    </w:lvl>
    <w:lvl w:ilvl="3">
      <w:start w:val="1"/>
      <w:numFmt w:val="decimal"/>
      <w:lvlText w:val="%1.%2.%3.%4."/>
      <w:lvlJc w:val="left"/>
      <w:pPr>
        <w:ind w:left="932" w:hanging="648"/>
      </w:pPr>
      <w:rPr>
        <w:b w:val="0"/>
        <w:strike w:val="0"/>
        <w:color w:val="000000"/>
        <w:sz w:val="24"/>
        <w:szCs w:val="24"/>
      </w:rPr>
    </w:lvl>
    <w:lvl w:ilvl="4">
      <w:start w:val="1"/>
      <w:numFmt w:val="lowerLetter"/>
      <w:lvlText w:val="%5."/>
      <w:lvlJc w:val="left"/>
      <w:pPr>
        <w:ind w:left="2069" w:hanging="792"/>
      </w:pPr>
      <w:rPr>
        <w:sz w:val="18"/>
        <w:szCs w:val="18"/>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5">
    <w:lvl w:ilvl="0">
      <w:start w:val="1"/>
      <w:numFmt w:val="lowerLetter"/>
      <w:lvlText w:val="%1."/>
      <w:lvlJc w:val="left"/>
      <w:pPr>
        <w:ind w:left="1429" w:hanging="360"/>
      </w:pPr>
      <w:rPr>
        <w:sz w:val="18"/>
        <w:szCs w:val="18"/>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36">
    <w:lvl w:ilvl="0">
      <w:start w:val="1"/>
      <w:numFmt w:val="decimal"/>
      <w:lvlText w:val="%1."/>
      <w:lvlJc w:val="left"/>
      <w:pPr>
        <w:ind w:left="720" w:hanging="360"/>
      </w:pPr>
      <w:rPr/>
    </w:lvl>
    <w:lvl w:ilvl="1">
      <w:start w:val="1"/>
      <w:numFmt w:val="bullet"/>
      <w:lvlText w:val="-"/>
      <w:lvlJc w:val="left"/>
      <w:pPr>
        <w:ind w:left="1440" w:hanging="360"/>
      </w:pPr>
      <w:rPr>
        <w:rFonts w:ascii="Titilium" w:cs="Titilium" w:eastAsia="Titilium" w:hAnsi="Titilium"/>
        <w:color w:val="000000"/>
        <w:sz w:val="18"/>
        <w:szCs w:val="18"/>
      </w:rPr>
    </w:lvl>
    <w:lvl w:ilvl="2">
      <w:start w:val="1"/>
      <w:numFmt w:val="lowerLetter"/>
      <w:lvlText w:val="%3)"/>
      <w:lvlJc w:val="left"/>
      <w:pPr>
        <w:ind w:left="360" w:hanging="360"/>
      </w:pPr>
      <w:rPr>
        <w:rFonts w:ascii="Titillium" w:cs="Titillium" w:eastAsia="Titillium" w:hAnsi="Titillium"/>
        <w:sz w:val="18"/>
        <w:szCs w:val="18"/>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360" w:hanging="360"/>
      </w:pPr>
      <w:rPr/>
    </w:lvl>
    <w:lvl w:ilvl="1">
      <w:start w:val="1"/>
      <w:numFmt w:val="decimal"/>
      <w:lvlText w:val="%1.%2."/>
      <w:lvlJc w:val="left"/>
      <w:pPr>
        <w:ind w:left="792" w:hanging="432"/>
      </w:pPr>
      <w:rPr>
        <w:b w:val="0"/>
        <w:i w:val="0"/>
        <w:sz w:val="24"/>
        <w:szCs w:val="24"/>
      </w:rPr>
    </w:lvl>
    <w:lvl w:ilvl="2">
      <w:start w:val="1"/>
      <w:numFmt w:val="lowerLetter"/>
      <w:lvlText w:val="%3)"/>
      <w:lvlJc w:val="left"/>
      <w:pPr>
        <w:ind w:left="4049" w:hanging="504"/>
      </w:pPr>
      <w:rPr>
        <w:rFonts w:ascii="Titillium" w:cs="Titillium" w:eastAsia="Titillium" w:hAnsi="Titillium"/>
        <w:b w:val="0"/>
        <w:i w:val="0"/>
        <w:strike w:val="0"/>
        <w:sz w:val="18"/>
        <w:szCs w:val="18"/>
      </w:rPr>
    </w:lvl>
    <w:lvl w:ilvl="3">
      <w:start w:val="1"/>
      <w:numFmt w:val="decimal"/>
      <w:lvlText w:val="%1.%2.%3.%4."/>
      <w:lvlJc w:val="left"/>
      <w:pPr>
        <w:ind w:left="932" w:hanging="648"/>
      </w:pPr>
      <w:rPr>
        <w:b w:val="0"/>
        <w:strike w:val="0"/>
        <w:color w:val="000000"/>
        <w:sz w:val="24"/>
        <w:szCs w:val="24"/>
      </w:rPr>
    </w:lvl>
    <w:lvl w:ilvl="4">
      <w:start w:val="1"/>
      <w:numFmt w:val="decimal"/>
      <w:lvlText w:val="%1.%2.%3.%4.%5."/>
      <w:lvlJc w:val="left"/>
      <w:pPr>
        <w:ind w:left="2069"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8">
    <w:lvl w:ilvl="0">
      <w:start w:val="1"/>
      <w:numFmt w:val="bullet"/>
      <w:lvlText w:val="-"/>
      <w:lvlJc w:val="left"/>
      <w:pPr>
        <w:ind w:left="1080" w:hanging="360"/>
      </w:pPr>
      <w:rPr>
        <w:rFonts w:ascii="Titilium" w:cs="Titilium" w:eastAsia="Titilium" w:hAnsi="Titilium"/>
        <w:color w:val="000000"/>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9">
    <w:lvl w:ilvl="0">
      <w:start w:val="1"/>
      <w:numFmt w:val="lowerLetter"/>
      <w:lvlText w:val="%1)"/>
      <w:lvlJc w:val="left"/>
      <w:pPr>
        <w:ind w:left="720" w:hanging="360"/>
      </w:pPr>
      <w:rPr>
        <w:rFonts w:ascii="Titillium" w:cs="Titillium" w:eastAsia="Titillium" w:hAnsi="Titillium"/>
        <w:b w:val="1"/>
        <w:i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280" w:before="280" w:line="276" w:lineRule="auto"/>
      <w:jc w:val="center"/>
    </w:pPr>
    <w:rPr>
      <w:rFonts w:ascii="Garamond" w:cs="Garamond" w:eastAsia="Garamond" w:hAnsi="Garamond"/>
      <w:b w:val="1"/>
      <w:sz w:val="28"/>
      <w:szCs w:val="28"/>
    </w:rPr>
  </w:style>
  <w:style w:type="paragraph" w:styleId="Heading2">
    <w:name w:val="heading 2"/>
    <w:basedOn w:val="Normal"/>
    <w:next w:val="Normal"/>
    <w:pPr>
      <w:keepNext w:val="1"/>
      <w:widowControl w:val="1"/>
      <w:spacing w:after="120" w:before="560" w:line="276" w:lineRule="auto"/>
      <w:jc w:val="both"/>
    </w:pPr>
    <w:rPr>
      <w:rFonts w:ascii="Garamond" w:cs="Garamond" w:eastAsia="Garamond" w:hAnsi="Garamond"/>
      <w:b w:val="1"/>
      <w:smallCaps w:val="1"/>
    </w:rPr>
  </w:style>
  <w:style w:type="paragraph" w:styleId="Heading3">
    <w:name w:val="heading 3"/>
    <w:basedOn w:val="Normal"/>
    <w:next w:val="Normal"/>
    <w:pPr>
      <w:keepNext w:val="1"/>
      <w:widowControl w:val="1"/>
      <w:spacing w:after="60" w:before="240" w:line="276" w:lineRule="auto"/>
      <w:jc w:val="both"/>
    </w:pPr>
    <w:rPr>
      <w:rFonts w:ascii="Garamond" w:cs="Garamond" w:eastAsia="Garamond" w:hAnsi="Garamond"/>
      <w:b w:val="1"/>
      <w:smallCaps w:val="1"/>
      <w:sz w:val="22"/>
      <w:szCs w:val="22"/>
    </w:rPr>
  </w:style>
  <w:style w:type="paragraph" w:styleId="Heading4">
    <w:name w:val="heading 4"/>
    <w:basedOn w:val="Normal"/>
    <w:next w:val="Normal"/>
    <w:pPr>
      <w:keepNext w:val="1"/>
      <w:keepLines w:val="1"/>
      <w:widowControl w:val="1"/>
      <w:spacing w:before="200" w:line="276" w:lineRule="auto"/>
      <w:jc w:val="both"/>
    </w:pPr>
    <w:rPr>
      <w:rFonts w:ascii="Titillium" w:cs="Titillium" w:eastAsia="Titillium" w:hAnsi="Titillium"/>
      <w:b w:val="1"/>
      <w:sz w:val="18"/>
      <w:szCs w:val="18"/>
    </w:rPr>
  </w:style>
  <w:style w:type="paragraph" w:styleId="Heading5">
    <w:name w:val="heading 5"/>
    <w:basedOn w:val="Normal"/>
    <w:next w:val="Normal"/>
    <w:pPr>
      <w:widowControl w:val="1"/>
      <w:spacing w:after="60" w:before="240" w:line="276" w:lineRule="auto"/>
      <w:jc w:val="both"/>
    </w:pPr>
    <w:rPr>
      <w:rFonts w:ascii="Garamond" w:cs="Garamond" w:eastAsia="Garamond" w:hAnsi="Garamond"/>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e" w:default="1">
    <w:name w:val="Normal"/>
    <w:qFormat w:val="1"/>
    <w:rsid w:val="008403EE"/>
    <w:rPr>
      <w:rFonts w:cs="Mangal;Courier" w:eastAsia="SimSun;宋体"/>
      <w:kern w:val="2"/>
    </w:rPr>
  </w:style>
  <w:style w:type="paragraph" w:styleId="Titolo1">
    <w:name w:val="heading 1"/>
    <w:basedOn w:val="Normale"/>
    <w:next w:val="Titolo2"/>
    <w:link w:val="Titolo1Carattere"/>
    <w:uiPriority w:val="9"/>
    <w:qFormat w:val="1"/>
    <w:rsid w:val="00061DE5"/>
    <w:pPr>
      <w:keepNext w:val="1"/>
      <w:keepLines w:val="1"/>
      <w:widowControl w:val="1"/>
      <w:spacing w:after="280" w:before="280" w:line="276" w:lineRule="auto"/>
      <w:jc w:val="center"/>
      <w:outlineLvl w:val="0"/>
    </w:pPr>
    <w:rPr>
      <w:rFonts w:ascii="Garamond" w:cs="Times New Roman" w:eastAsia="Calibri" w:hAnsi="Garamond"/>
      <w:b w:val="1"/>
      <w:bCs w:val="1"/>
      <w:kern w:val="0"/>
      <w:sz w:val="28"/>
      <w:szCs w:val="28"/>
      <w:lang w:eastAsia="x-none" w:val="x-none"/>
    </w:rPr>
  </w:style>
  <w:style w:type="paragraph" w:styleId="Titolo2">
    <w:name w:val="heading 2"/>
    <w:basedOn w:val="Normale"/>
    <w:next w:val="Titolo3"/>
    <w:link w:val="Titolo2Carattere"/>
    <w:uiPriority w:val="9"/>
    <w:unhideWhenUsed w:val="1"/>
    <w:qFormat w:val="1"/>
    <w:rsid w:val="00061DE5"/>
    <w:pPr>
      <w:keepNext w:val="1"/>
      <w:widowControl w:val="1"/>
      <w:spacing w:after="120" w:before="560" w:line="276" w:lineRule="auto"/>
      <w:jc w:val="both"/>
      <w:outlineLvl w:val="1"/>
    </w:pPr>
    <w:rPr>
      <w:rFonts w:ascii="Garamond" w:cs="Times New Roman" w:eastAsia="Times New Roman" w:hAnsi="Garamond"/>
      <w:b w:val="1"/>
      <w:bCs w:val="1"/>
      <w:iCs w:val="1"/>
      <w:caps w:val="1"/>
      <w:kern w:val="0"/>
      <w:szCs w:val="28"/>
      <w:lang w:eastAsia="en-US" w:val="x-none"/>
    </w:rPr>
  </w:style>
  <w:style w:type="paragraph" w:styleId="Titolo3">
    <w:name w:val="heading 3"/>
    <w:basedOn w:val="Normale"/>
    <w:next w:val="Normale"/>
    <w:link w:val="Titolo3Carattere"/>
    <w:uiPriority w:val="9"/>
    <w:unhideWhenUsed w:val="1"/>
    <w:qFormat w:val="1"/>
    <w:rsid w:val="00061DE5"/>
    <w:pPr>
      <w:keepNext w:val="1"/>
      <w:widowControl w:val="1"/>
      <w:spacing w:after="60" w:before="240" w:line="276" w:lineRule="auto"/>
      <w:jc w:val="both"/>
      <w:outlineLvl w:val="2"/>
    </w:pPr>
    <w:rPr>
      <w:rFonts w:ascii="Garamond" w:cs="Times New Roman" w:eastAsia="Times New Roman" w:hAnsi="Garamond"/>
      <w:b w:val="1"/>
      <w:bCs w:val="1"/>
      <w:caps w:val="1"/>
      <w:kern w:val="0"/>
      <w:sz w:val="22"/>
      <w:szCs w:val="26"/>
      <w:lang w:eastAsia="en-US" w:val="x-none"/>
    </w:rPr>
  </w:style>
  <w:style w:type="paragraph" w:styleId="Titolo4">
    <w:name w:val="heading 4"/>
    <w:basedOn w:val="Normale"/>
    <w:next w:val="Normale"/>
    <w:link w:val="Titolo4Carattere"/>
    <w:uiPriority w:val="9"/>
    <w:unhideWhenUsed w:val="1"/>
    <w:qFormat w:val="1"/>
    <w:rsid w:val="00F367FC"/>
    <w:pPr>
      <w:keepNext w:val="1"/>
      <w:keepLines w:val="1"/>
      <w:widowControl w:val="1"/>
      <w:spacing w:before="200" w:line="276" w:lineRule="auto"/>
      <w:jc w:val="both"/>
      <w:outlineLvl w:val="3"/>
    </w:pPr>
    <w:rPr>
      <w:rFonts w:ascii="Titillium" w:cs="Times New Roman" w:eastAsia="Calibri" w:hAnsi="Titillium"/>
      <w:b w:val="1"/>
      <w:bCs w:val="1"/>
      <w:iCs w:val="1"/>
      <w:kern w:val="0"/>
      <w:sz w:val="18"/>
      <w:szCs w:val="22"/>
      <w:lang w:eastAsia="en-US"/>
    </w:rPr>
  </w:style>
  <w:style w:type="paragraph" w:styleId="Titolo5">
    <w:name w:val="heading 5"/>
    <w:basedOn w:val="Normale"/>
    <w:next w:val="Normale"/>
    <w:link w:val="Titolo5Carattere"/>
    <w:uiPriority w:val="9"/>
    <w:semiHidden w:val="1"/>
    <w:unhideWhenUsed w:val="1"/>
    <w:qFormat w:val="1"/>
    <w:rsid w:val="00061DE5"/>
    <w:pPr>
      <w:widowControl w:val="1"/>
      <w:spacing w:after="60" w:before="240" w:line="276" w:lineRule="auto"/>
      <w:jc w:val="both"/>
      <w:outlineLvl w:val="4"/>
    </w:pPr>
    <w:rPr>
      <w:rFonts w:ascii="Garamond" w:cs="Times New Roman" w:eastAsia="Times New Roman" w:hAnsi="Garamond"/>
      <w:b w:val="1"/>
      <w:bCs w:val="1"/>
      <w:i w:val="1"/>
      <w:iCs w:val="1"/>
      <w:kern w:val="0"/>
      <w:sz w:val="26"/>
      <w:szCs w:val="26"/>
      <w:lang w:eastAsia="en-US" w:val="x-none"/>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Corpotesto"/>
    <w:link w:val="TitoloCarattere1"/>
    <w:uiPriority w:val="10"/>
    <w:qFormat w:val="1"/>
    <w:pPr>
      <w:keepNext w:val="1"/>
      <w:spacing w:after="120" w:before="240"/>
    </w:pPr>
    <w:rPr>
      <w:rFonts w:ascii="Arial" w:cs="Arial Unicode MS" w:eastAsia="Arial Unicode MS" w:hAnsi="Arial"/>
      <w:sz w:val="28"/>
      <w:szCs w:val="28"/>
    </w:rPr>
  </w:style>
  <w:style w:type="table" w:styleId="TableNormal0" w:customStyle="1">
    <w:name w:val="Table Normal"/>
    <w:tblPr>
      <w:tblCellMar>
        <w:top w:w="0.0" w:type="dxa"/>
        <w:left w:w="0.0" w:type="dxa"/>
        <w:bottom w:w="0.0" w:type="dxa"/>
        <w:right w:w="0.0" w:type="dxa"/>
      </w:tblCellMar>
    </w:tblPr>
  </w:style>
  <w:style w:type="character" w:styleId="Collegamentoipertestuale">
    <w:name w:val="Hyperlink"/>
    <w:uiPriority w:val="99"/>
    <w:rPr>
      <w:rFonts w:cs="Times New Roman"/>
      <w:color w:val="000080"/>
      <w:u w:val="single"/>
    </w:rPr>
  </w:style>
  <w:style w:type="paragraph" w:styleId="Corpotesto">
    <w:name w:val="Body Text"/>
    <w:basedOn w:val="Normale"/>
    <w:link w:val="CorpotestoCarattere2"/>
    <w:pPr>
      <w:spacing w:after="120"/>
    </w:pPr>
  </w:style>
  <w:style w:type="paragraph" w:styleId="Elenco">
    <w:name w:val="List"/>
    <w:basedOn w:val="Corpotesto"/>
  </w:style>
  <w:style w:type="paragraph" w:styleId="Didascalia">
    <w:name w:val="caption"/>
    <w:basedOn w:val="Normale"/>
    <w:qFormat w:val="1"/>
    <w:pPr>
      <w:suppressLineNumbers w:val="1"/>
      <w:spacing w:after="120" w:before="120"/>
    </w:pPr>
    <w:rPr>
      <w:i w:val="1"/>
      <w:iCs w:val="1"/>
    </w:rPr>
  </w:style>
  <w:style w:type="paragraph" w:styleId="Indice" w:customStyle="1">
    <w:name w:val="Indice"/>
    <w:basedOn w:val="Normale"/>
    <w:qFormat w:val="1"/>
    <w:pPr>
      <w:suppressLineNumbers w:val="1"/>
    </w:pPr>
  </w:style>
  <w:style w:type="paragraph" w:styleId="Intestazione1" w:customStyle="1">
    <w:name w:val="Intestazione1"/>
    <w:basedOn w:val="Normale"/>
    <w:next w:val="Corpotesto"/>
    <w:qFormat w:val="1"/>
    <w:pPr>
      <w:keepNext w:val="1"/>
      <w:spacing w:after="120" w:before="240"/>
    </w:pPr>
    <w:rPr>
      <w:rFonts w:ascii="Arial" w:eastAsia="Microsoft YaHei" w:hAnsi="Arial"/>
      <w:sz w:val="28"/>
      <w:szCs w:val="28"/>
    </w:rPr>
  </w:style>
  <w:style w:type="paragraph" w:styleId="Intestazioneepidipagina" w:customStyle="1">
    <w:name w:val="Intestazione e piè di pagina"/>
    <w:basedOn w:val="Normale"/>
    <w:qFormat w:val="1"/>
    <w:pPr>
      <w:suppressLineNumbers w:val="1"/>
      <w:tabs>
        <w:tab w:val="center" w:pos="4819"/>
        <w:tab w:val="right" w:pos="9638"/>
      </w:tabs>
    </w:pPr>
  </w:style>
  <w:style w:type="paragraph" w:styleId="Intestazione">
    <w:name w:val="header"/>
    <w:basedOn w:val="Normale"/>
    <w:link w:val="IntestazioneCarattere1"/>
    <w:pPr>
      <w:suppressLineNumbers w:val="1"/>
      <w:tabs>
        <w:tab w:val="center" w:pos="4819"/>
        <w:tab w:val="right" w:pos="9638"/>
      </w:tabs>
    </w:pPr>
  </w:style>
  <w:style w:type="paragraph" w:styleId="Pidipagina">
    <w:name w:val="footer"/>
    <w:basedOn w:val="Normale"/>
    <w:link w:val="PidipaginaCarattere1"/>
    <w:uiPriority w:val="99"/>
    <w:pPr>
      <w:suppressLineNumbers w:val="1"/>
      <w:tabs>
        <w:tab w:val="center" w:pos="4819"/>
        <w:tab w:val="right" w:pos="9638"/>
      </w:tabs>
    </w:pPr>
  </w:style>
  <w:style w:type="character" w:styleId="Titolo1Carattere" w:customStyle="1">
    <w:name w:val="Titolo 1 Carattere"/>
    <w:basedOn w:val="Carpredefinitoparagrafo"/>
    <w:link w:val="Titolo1"/>
    <w:qFormat w:val="1"/>
    <w:rsid w:val="00061DE5"/>
    <w:rPr>
      <w:rFonts w:ascii="Garamond" w:cs="Times New Roman" w:eastAsia="Calibri" w:hAnsi="Garamond"/>
      <w:b w:val="1"/>
      <w:bCs w:val="1"/>
      <w:sz w:val="28"/>
      <w:szCs w:val="28"/>
      <w:lang w:bidi="ar-SA" w:eastAsia="x-none" w:val="x-none"/>
    </w:rPr>
  </w:style>
  <w:style w:type="character" w:styleId="Titolo2Carattere" w:customStyle="1">
    <w:name w:val="Titolo 2 Carattere"/>
    <w:basedOn w:val="Carpredefinitoparagrafo"/>
    <w:link w:val="Titolo2"/>
    <w:qFormat w:val="1"/>
    <w:rsid w:val="00061DE5"/>
    <w:rPr>
      <w:rFonts w:ascii="Garamond" w:cs="Times New Roman" w:eastAsia="Times New Roman" w:hAnsi="Garamond"/>
      <w:b w:val="1"/>
      <w:bCs w:val="1"/>
      <w:iCs w:val="1"/>
      <w:caps w:val="1"/>
      <w:szCs w:val="28"/>
      <w:lang w:bidi="ar-SA" w:eastAsia="en-US" w:val="x-none"/>
    </w:rPr>
  </w:style>
  <w:style w:type="character" w:styleId="Titolo3Carattere" w:customStyle="1">
    <w:name w:val="Titolo 3 Carattere"/>
    <w:basedOn w:val="Carpredefinitoparagrafo"/>
    <w:link w:val="Titolo3"/>
    <w:qFormat w:val="1"/>
    <w:rsid w:val="00061DE5"/>
    <w:rPr>
      <w:rFonts w:ascii="Garamond" w:cs="Times New Roman" w:eastAsia="Times New Roman" w:hAnsi="Garamond"/>
      <w:b w:val="1"/>
      <w:bCs w:val="1"/>
      <w:caps w:val="1"/>
      <w:sz w:val="22"/>
      <w:szCs w:val="26"/>
      <w:lang w:bidi="ar-SA" w:eastAsia="en-US" w:val="x-none"/>
    </w:rPr>
  </w:style>
  <w:style w:type="character" w:styleId="Titolo4Carattere" w:customStyle="1">
    <w:name w:val="Titolo 4 Carattere"/>
    <w:basedOn w:val="Carpredefinitoparagrafo"/>
    <w:link w:val="Titolo4"/>
    <w:qFormat w:val="1"/>
    <w:rsid w:val="00F367FC"/>
    <w:rPr>
      <w:rFonts w:ascii="Titillium" w:cs="Times New Roman" w:eastAsia="Calibri" w:hAnsi="Titillium"/>
      <w:b w:val="1"/>
      <w:bCs w:val="1"/>
      <w:iCs w:val="1"/>
      <w:sz w:val="18"/>
      <w:szCs w:val="22"/>
      <w:lang w:bidi="ar-SA" w:eastAsia="en-US"/>
    </w:rPr>
  </w:style>
  <w:style w:type="character" w:styleId="Titolo5Carattere" w:customStyle="1">
    <w:name w:val="Titolo 5 Carattere"/>
    <w:basedOn w:val="Carpredefinitoparagrafo"/>
    <w:link w:val="Titolo5"/>
    <w:qFormat w:val="1"/>
    <w:rsid w:val="00061DE5"/>
    <w:rPr>
      <w:rFonts w:ascii="Garamond" w:cs="Times New Roman" w:eastAsia="Times New Roman" w:hAnsi="Garamond"/>
      <w:b w:val="1"/>
      <w:bCs w:val="1"/>
      <w:i w:val="1"/>
      <w:iCs w:val="1"/>
      <w:sz w:val="26"/>
      <w:szCs w:val="26"/>
      <w:lang w:bidi="ar-SA" w:eastAsia="en-US" w:val="x-none"/>
    </w:rPr>
  </w:style>
  <w:style w:type="numbering" w:styleId="Nessunelenco1" w:customStyle="1">
    <w:name w:val="Nessun elenco1"/>
    <w:next w:val="Nessunelenco"/>
    <w:uiPriority w:val="99"/>
    <w:semiHidden w:val="1"/>
    <w:unhideWhenUsed w:val="1"/>
    <w:rsid w:val="00061DE5"/>
  </w:style>
  <w:style w:type="character" w:styleId="TestofumettoCarattere" w:customStyle="1">
    <w:name w:val="Testo fumetto Carattere"/>
    <w:qFormat w:val="1"/>
    <w:rsid w:val="00061DE5"/>
    <w:rPr>
      <w:rFonts w:ascii="Tahoma" w:cs="Tahoma" w:hAnsi="Tahoma"/>
      <w:sz w:val="16"/>
      <w:szCs w:val="16"/>
    </w:rPr>
  </w:style>
  <w:style w:type="character" w:styleId="IntestazioneCarattere" w:customStyle="1">
    <w:name w:val="Intestazione Carattere"/>
    <w:qFormat w:val="1"/>
    <w:rsid w:val="00061DE5"/>
    <w:rPr>
      <w:rFonts w:cs="Times New Roman" w:eastAsia="Times New Roman"/>
      <w:lang w:eastAsia="it-IT" w:val="x-none"/>
    </w:rPr>
  </w:style>
  <w:style w:type="character" w:styleId="PidipaginaCarattere" w:customStyle="1">
    <w:name w:val="Piè di pagina Carattere"/>
    <w:uiPriority w:val="99"/>
    <w:qFormat w:val="1"/>
    <w:rsid w:val="00061DE5"/>
    <w:rPr>
      <w:rFonts w:cs="Times New Roman" w:eastAsia="Times New Roman"/>
      <w:lang w:eastAsia="it-IT" w:val="x-none"/>
    </w:rPr>
  </w:style>
  <w:style w:type="character" w:styleId="TestonotaapidipaginaCarattere" w:customStyle="1">
    <w:name w:val="Testo nota a piè di pagina Carattere"/>
    <w:qFormat w:val="1"/>
    <w:rsid w:val="00061DE5"/>
    <w:rPr>
      <w:rFonts w:cs="Times New Roman" w:eastAsia="Times New Roman"/>
      <w:sz w:val="20"/>
      <w:szCs w:val="20"/>
      <w:lang w:eastAsia="it-IT" w:val="x-none"/>
    </w:rPr>
  </w:style>
  <w:style w:type="character" w:styleId="Richiamoallanotaapidipagina" w:customStyle="1">
    <w:name w:val="Richiamo alla nota a piè di pagina"/>
    <w:rsid w:val="00061DE5"/>
    <w:rPr>
      <w:rFonts w:cs="Times New Roman"/>
      <w:vertAlign w:val="superscript"/>
    </w:rPr>
  </w:style>
  <w:style w:type="character" w:styleId="FootnoteCharacters" w:customStyle="1">
    <w:name w:val="Footnote Characters"/>
    <w:basedOn w:val="Carpredefinitoparagrafo"/>
    <w:uiPriority w:val="99"/>
    <w:semiHidden w:val="1"/>
    <w:unhideWhenUsed w:val="1"/>
    <w:qFormat w:val="1"/>
    <w:rsid w:val="00061DE5"/>
    <w:rPr>
      <w:vertAlign w:val="superscript"/>
    </w:rPr>
  </w:style>
  <w:style w:type="character" w:styleId="CollegamentoInternet" w:customStyle="1">
    <w:name w:val="Collegamento Internet"/>
    <w:basedOn w:val="Carpredefinitoparagrafo"/>
    <w:uiPriority w:val="99"/>
    <w:unhideWhenUsed w:val="1"/>
    <w:rsid w:val="00061DE5"/>
    <w:rPr>
      <w:color w:val="0563c1"/>
      <w:u w:val="single"/>
    </w:rPr>
  </w:style>
  <w:style w:type="character" w:styleId="Stile1Carattere" w:customStyle="1">
    <w:name w:val="Stile1 Carattere"/>
    <w:qFormat w:val="1"/>
    <w:rsid w:val="00061DE5"/>
    <w:rPr>
      <w:rFonts w:ascii="Times New Roman" w:cs="Times New Roman" w:hAnsi="Times New Roman"/>
      <w:b w:val="1"/>
      <w:bCs w:val="1"/>
      <w:color w:val="365f91"/>
      <w:sz w:val="28"/>
      <w:szCs w:val="28"/>
      <w:lang w:eastAsia="it-IT" w:val="x-none"/>
    </w:rPr>
  </w:style>
  <w:style w:type="character" w:styleId="NoSpacingChar" w:customStyle="1">
    <w:name w:val="No Spacing Char"/>
    <w:qFormat w:val="1"/>
    <w:rsid w:val="00061DE5"/>
    <w:rPr>
      <w:sz w:val="22"/>
      <w:szCs w:val="22"/>
      <w:lang w:bidi="ar-SA" w:eastAsia="en-US" w:val="it-IT"/>
    </w:rPr>
  </w:style>
  <w:style w:type="character" w:styleId="Enfasi" w:customStyle="1">
    <w:name w:val="Enfasi"/>
    <w:qFormat w:val="1"/>
    <w:rsid w:val="00061DE5"/>
    <w:rPr>
      <w:rFonts w:cs="Times New Roman"/>
      <w:i w:val="1"/>
      <w:iCs w:val="1"/>
    </w:rPr>
  </w:style>
  <w:style w:type="character" w:styleId="TestonotadichiusuraCarattere" w:customStyle="1">
    <w:name w:val="Testo nota di chiusura Carattere"/>
    <w:qFormat w:val="1"/>
    <w:rsid w:val="00061DE5"/>
    <w:rPr>
      <w:rFonts w:eastAsia="Times New Roman"/>
      <w:lang w:eastAsia="en-US"/>
    </w:rPr>
  </w:style>
  <w:style w:type="character" w:styleId="Richiamoallanotadichiusura" w:customStyle="1">
    <w:name w:val="Richiamo alla nota di chiusura"/>
    <w:rsid w:val="00061DE5"/>
    <w:rPr>
      <w:vertAlign w:val="superscript"/>
    </w:rPr>
  </w:style>
  <w:style w:type="character" w:styleId="EndnoteCharacters" w:customStyle="1">
    <w:name w:val="Endnote Characters"/>
    <w:qFormat w:val="1"/>
    <w:rsid w:val="00061DE5"/>
    <w:rPr>
      <w:vertAlign w:val="superscript"/>
    </w:rPr>
  </w:style>
  <w:style w:type="character" w:styleId="descrizione" w:customStyle="1">
    <w:name w:val="descrizione"/>
    <w:qFormat w:val="1"/>
    <w:rsid w:val="00061DE5"/>
    <w:rPr>
      <w:b w:val="1"/>
      <w:bCs w:val="1"/>
      <w:color w:val="5b76a0"/>
      <w:sz w:val="28"/>
      <w:szCs w:val="28"/>
    </w:rPr>
  </w:style>
  <w:style w:type="character" w:styleId="Enfasigrassetto">
    <w:name w:val="Strong"/>
    <w:qFormat w:val="1"/>
    <w:rsid w:val="00061DE5"/>
    <w:rPr>
      <w:b w:val="1"/>
      <w:bCs w:val="1"/>
    </w:rPr>
  </w:style>
  <w:style w:type="character" w:styleId="provvrubrica" w:customStyle="1">
    <w:name w:val="provv_rubrica"/>
    <w:qFormat w:val="1"/>
    <w:rsid w:val="00061DE5"/>
    <w:rPr>
      <w:i w:val="1"/>
      <w:iCs w:val="1"/>
    </w:rPr>
  </w:style>
  <w:style w:type="character" w:styleId="Rimandocommento">
    <w:name w:val="annotation reference"/>
    <w:qFormat w:val="1"/>
    <w:rsid w:val="00061DE5"/>
    <w:rPr>
      <w:sz w:val="16"/>
      <w:szCs w:val="16"/>
    </w:rPr>
  </w:style>
  <w:style w:type="character" w:styleId="TestocommentoCarattere" w:customStyle="1">
    <w:name w:val="Testo commento Carattere"/>
    <w:qFormat w:val="1"/>
    <w:rsid w:val="00061DE5"/>
    <w:rPr>
      <w:rFonts w:eastAsia="Times New Roman"/>
      <w:lang w:eastAsia="en-US"/>
    </w:rPr>
  </w:style>
  <w:style w:type="character" w:styleId="SoggettocommentoCarattere" w:customStyle="1">
    <w:name w:val="Soggetto commento Carattere"/>
    <w:qFormat w:val="1"/>
    <w:rsid w:val="00061DE5"/>
    <w:rPr>
      <w:rFonts w:eastAsia="Times New Roman"/>
      <w:b w:val="1"/>
      <w:bCs w:val="1"/>
      <w:lang w:eastAsia="en-US"/>
    </w:rPr>
  </w:style>
  <w:style w:type="character" w:styleId="provvnumcomma" w:customStyle="1">
    <w:name w:val="provv_numcomma"/>
    <w:basedOn w:val="Carpredefinitoparagrafo"/>
    <w:qFormat w:val="1"/>
    <w:rsid w:val="00061DE5"/>
  </w:style>
  <w:style w:type="character" w:styleId="anchorantimarker" w:customStyle="1">
    <w:name w:val="anchor_anti_marker"/>
    <w:qFormat w:val="1"/>
    <w:rsid w:val="00061DE5"/>
    <w:rPr>
      <w:color w:val="000000"/>
    </w:rPr>
  </w:style>
  <w:style w:type="character" w:styleId="linkneltesto" w:customStyle="1">
    <w:name w:val="link_nel_testo"/>
    <w:qFormat w:val="1"/>
    <w:rsid w:val="00061DE5"/>
    <w:rPr>
      <w:i w:val="1"/>
      <w:iCs w:val="1"/>
    </w:rPr>
  </w:style>
  <w:style w:type="character" w:styleId="CorpotestoCarattere1" w:customStyle="1">
    <w:name w:val="Corpo testo Carattere1"/>
    <w:qFormat w:val="1"/>
    <w:rsid w:val="00061DE5"/>
    <w:rPr>
      <w:rFonts w:ascii="Times New Roman" w:eastAsia="Times New Roman" w:hAnsi="Times New Roman"/>
      <w:sz w:val="26"/>
    </w:rPr>
  </w:style>
  <w:style w:type="character" w:styleId="Rientrocorpodeltesto3Carattere" w:customStyle="1">
    <w:name w:val="Rientro corpo del testo 3 Carattere"/>
    <w:qFormat w:val="1"/>
    <w:rsid w:val="00061DE5"/>
    <w:rPr>
      <w:rFonts w:eastAsia="Times New Roman"/>
      <w:sz w:val="16"/>
      <w:szCs w:val="16"/>
      <w:lang w:eastAsia="en-US"/>
    </w:rPr>
  </w:style>
  <w:style w:type="character" w:styleId="Corpodeltesto2Carattere" w:customStyle="1">
    <w:name w:val="Corpo del testo 2 Carattere"/>
    <w:qFormat w:val="1"/>
    <w:rsid w:val="00061DE5"/>
    <w:rPr>
      <w:rFonts w:eastAsia="Times New Roman"/>
      <w:sz w:val="22"/>
      <w:szCs w:val="22"/>
      <w:lang w:eastAsia="en-US"/>
    </w:rPr>
  </w:style>
  <w:style w:type="character" w:styleId="noteapiCarattere" w:customStyle="1">
    <w:name w:val="note a piè Carattere"/>
    <w:qFormat w:val="1"/>
    <w:rsid w:val="00061DE5"/>
    <w:rPr>
      <w:rFonts w:ascii="Times New Roman" w:cs="Times New Roman" w:eastAsia="Times New Roman" w:hAnsi="Times New Roman"/>
      <w:sz w:val="20"/>
      <w:szCs w:val="20"/>
      <w:lang w:eastAsia="it-IT" w:val="x-none"/>
    </w:rPr>
  </w:style>
  <w:style w:type="character" w:styleId="provvnumart" w:customStyle="1">
    <w:name w:val="provv_numart"/>
    <w:qFormat w:val="1"/>
    <w:rsid w:val="00061DE5"/>
    <w:rPr>
      <w:b w:val="1"/>
      <w:bCs w:val="1"/>
    </w:rPr>
  </w:style>
  <w:style w:type="character" w:styleId="MappadocumentoCarattere" w:customStyle="1">
    <w:name w:val="Mappa documento Carattere"/>
    <w:qFormat w:val="1"/>
    <w:rsid w:val="00061DE5"/>
    <w:rPr>
      <w:rFonts w:ascii="Tahoma" w:cs="Tahoma" w:eastAsia="Times New Roman" w:hAnsi="Tahoma"/>
      <w:sz w:val="16"/>
      <w:szCs w:val="16"/>
      <w:lang w:eastAsia="en-US"/>
    </w:rPr>
  </w:style>
  <w:style w:type="character" w:styleId="provvvigore" w:customStyle="1">
    <w:name w:val="provv_vigore"/>
    <w:qFormat w:val="1"/>
    <w:rsid w:val="00061DE5"/>
    <w:rPr>
      <w:vanish w:val="0"/>
    </w:rPr>
  </w:style>
  <w:style w:type="character" w:styleId="riferimento1" w:customStyle="1">
    <w:name w:val="riferimento1"/>
    <w:qFormat w:val="1"/>
    <w:rsid w:val="00061DE5"/>
    <w:rPr>
      <w:i w:val="1"/>
      <w:iCs w:val="1"/>
      <w:color w:val="058940"/>
    </w:rPr>
  </w:style>
  <w:style w:type="character" w:styleId="SottotitoloCarattere" w:customStyle="1">
    <w:name w:val="Sottotitolo Carattere"/>
    <w:qFormat w:val="1"/>
    <w:rsid w:val="00061DE5"/>
    <w:rPr>
      <w:rFonts w:ascii="Cambria" w:cs="Times New Roman" w:eastAsia="Times New Roman" w:hAnsi="Cambria"/>
      <w:sz w:val="24"/>
      <w:szCs w:val="24"/>
      <w:lang w:eastAsia="en-US"/>
    </w:rPr>
  </w:style>
  <w:style w:type="character" w:styleId="TitoloCarattere" w:customStyle="1">
    <w:name w:val="Titolo Carattere"/>
    <w:qFormat w:val="1"/>
    <w:rsid w:val="00061DE5"/>
    <w:rPr>
      <w:rFonts w:ascii="Cambria" w:cs="Times New Roman" w:eastAsia="Times New Roman" w:hAnsi="Cambria"/>
      <w:b w:val="1"/>
      <w:bCs w:val="1"/>
      <w:kern w:val="2"/>
      <w:sz w:val="32"/>
      <w:szCs w:val="32"/>
      <w:lang w:eastAsia="en-US"/>
    </w:rPr>
  </w:style>
  <w:style w:type="character" w:styleId="CollegamentoInternetvisitato" w:customStyle="1">
    <w:name w:val="Collegamento Internet visitato"/>
    <w:rsid w:val="00061DE5"/>
    <w:rPr>
      <w:color w:val="800080"/>
      <w:u w:val="single"/>
    </w:rPr>
  </w:style>
  <w:style w:type="character" w:styleId="Rientrocorpodeltesto2Carattere" w:customStyle="1">
    <w:name w:val="Rientro corpo del testo 2 Carattere"/>
    <w:qFormat w:val="1"/>
    <w:rsid w:val="00061DE5"/>
    <w:rPr>
      <w:rFonts w:ascii="Times New Roman" w:eastAsia="Times New Roman" w:hAnsi="Times New Roman"/>
      <w:sz w:val="24"/>
      <w:szCs w:val="24"/>
    </w:rPr>
  </w:style>
  <w:style w:type="character" w:styleId="CorpotestoCarattere" w:customStyle="1">
    <w:name w:val="Corpo testo Carattere"/>
    <w:qFormat w:val="1"/>
    <w:rsid w:val="00061DE5"/>
    <w:rPr>
      <w:rFonts w:ascii="Times New Roman" w:cs="Times New Roman" w:eastAsia="Times New Roman" w:hAnsi="Times New Roman"/>
      <w:sz w:val="26"/>
      <w:szCs w:val="24"/>
      <w:lang w:eastAsia="it-IT"/>
    </w:rPr>
  </w:style>
  <w:style w:type="character" w:styleId="Numeropagina">
    <w:name w:val="page number"/>
    <w:qFormat w:val="1"/>
    <w:rsid w:val="00061DE5"/>
  </w:style>
  <w:style w:type="character" w:styleId="RientrocorpodeltestoCarattere" w:customStyle="1">
    <w:name w:val="Rientro corpo del testo Carattere"/>
    <w:qFormat w:val="1"/>
    <w:rsid w:val="00061DE5"/>
    <w:rPr>
      <w:rFonts w:ascii="Times New Roman" w:eastAsia="Times New Roman" w:hAnsi="Times New Roman"/>
      <w:b w:val="1"/>
      <w:bCs w:val="1"/>
      <w:i w:val="1"/>
      <w:iCs w:val="1"/>
    </w:rPr>
  </w:style>
  <w:style w:type="character" w:styleId="Corpodeltesto3Carattere" w:customStyle="1">
    <w:name w:val="Corpo del testo 3 Carattere"/>
    <w:qFormat w:val="1"/>
    <w:rsid w:val="00061DE5"/>
    <w:rPr>
      <w:rFonts w:ascii="Times New Roman" w:eastAsia="Times New Roman" w:hAnsi="Times New Roman"/>
      <w:b w:val="1"/>
      <w:bCs w:val="1"/>
      <w:i w:val="1"/>
      <w:iCs w:val="1"/>
      <w:szCs w:val="24"/>
    </w:rPr>
  </w:style>
  <w:style w:type="character" w:styleId="CarattereCarattere2" w:customStyle="1">
    <w:name w:val="Carattere Carattere2"/>
    <w:qFormat w:val="1"/>
    <w:rsid w:val="00061DE5"/>
    <w:rPr>
      <w:sz w:val="26"/>
      <w:szCs w:val="24"/>
      <w:lang w:bidi="ar-SA" w:eastAsia="it-IT" w:val="it-IT"/>
    </w:rPr>
  </w:style>
  <w:style w:type="character" w:styleId="st1" w:customStyle="1">
    <w:name w:val="st1"/>
    <w:qFormat w:val="1"/>
    <w:rsid w:val="00061DE5"/>
  </w:style>
  <w:style w:type="character" w:styleId="TestonormaleCarattere" w:customStyle="1">
    <w:name w:val="Testo normale Carattere"/>
    <w:basedOn w:val="Carpredefinitoparagrafo"/>
    <w:qFormat w:val="1"/>
    <w:rsid w:val="00061DE5"/>
    <w:rPr>
      <w:rFonts w:ascii="Garamond" w:cs="Consolas" w:eastAsia="Times New Roman" w:hAnsi="Garamond"/>
      <w:sz w:val="24"/>
      <w:szCs w:val="21"/>
      <w:lang w:eastAsia="en-US"/>
    </w:rPr>
  </w:style>
  <w:style w:type="character" w:styleId="Testosegnaposto">
    <w:name w:val="Placeholder Text"/>
    <w:basedOn w:val="Carpredefinitoparagrafo"/>
    <w:qFormat w:val="1"/>
    <w:rsid w:val="00061DE5"/>
    <w:rPr>
      <w:color w:val="808080"/>
    </w:rPr>
  </w:style>
  <w:style w:type="character" w:styleId="SommariodisciplinareCarattere" w:customStyle="1">
    <w:name w:val="Sommario disciplinare Carattere"/>
    <w:basedOn w:val="Titolo1Carattere"/>
    <w:qFormat w:val="1"/>
    <w:rsid w:val="00061DE5"/>
    <w:rPr>
      <w:rFonts w:ascii="Garamond" w:cs="Calibri" w:eastAsia="Times New Roman" w:hAnsi="Garamond"/>
      <w:b w:val="1"/>
      <w:bCs w:val="1"/>
      <w:sz w:val="22"/>
      <w:szCs w:val="24"/>
      <w:lang w:bidi="ar-SA" w:eastAsia="x-none" w:val="x-none"/>
    </w:rPr>
  </w:style>
  <w:style w:type="character" w:styleId="apple-converted-space" w:customStyle="1">
    <w:name w:val="apple-converted-space"/>
    <w:basedOn w:val="Carpredefinitoparagrafo"/>
    <w:qFormat w:val="1"/>
    <w:rsid w:val="00061DE5"/>
  </w:style>
  <w:style w:type="character" w:styleId="Saltoaindice" w:customStyle="1">
    <w:name w:val="Salto a indice"/>
    <w:qFormat w:val="1"/>
    <w:rsid w:val="00061DE5"/>
  </w:style>
  <w:style w:type="character" w:styleId="WW8Num27z0" w:customStyle="1">
    <w:name w:val="WW8Num27z0"/>
    <w:qFormat w:val="1"/>
    <w:rsid w:val="00061DE5"/>
    <w:rPr>
      <w:rFonts w:ascii="Calibri" w:cs="Calibri" w:hAnsi="Calibri"/>
      <w:sz w:val="22"/>
      <w:szCs w:val="22"/>
    </w:rPr>
  </w:style>
  <w:style w:type="character" w:styleId="WW8Num27z1" w:customStyle="1">
    <w:name w:val="WW8Num27z1"/>
    <w:qFormat w:val="1"/>
    <w:rsid w:val="00061DE5"/>
  </w:style>
  <w:style w:type="character" w:styleId="WW8Num27z2" w:customStyle="1">
    <w:name w:val="WW8Num27z2"/>
    <w:qFormat w:val="1"/>
    <w:rsid w:val="00061DE5"/>
  </w:style>
  <w:style w:type="character" w:styleId="WW8Num27z3" w:customStyle="1">
    <w:name w:val="WW8Num27z3"/>
    <w:qFormat w:val="1"/>
    <w:rsid w:val="00061DE5"/>
  </w:style>
  <w:style w:type="character" w:styleId="WW8Num27z4" w:customStyle="1">
    <w:name w:val="WW8Num27z4"/>
    <w:qFormat w:val="1"/>
    <w:rsid w:val="00061DE5"/>
  </w:style>
  <w:style w:type="character" w:styleId="WW8Num27z5" w:customStyle="1">
    <w:name w:val="WW8Num27z5"/>
    <w:qFormat w:val="1"/>
    <w:rsid w:val="00061DE5"/>
  </w:style>
  <w:style w:type="character" w:styleId="WW8Num27z6" w:customStyle="1">
    <w:name w:val="WW8Num27z6"/>
    <w:qFormat w:val="1"/>
    <w:rsid w:val="00061DE5"/>
  </w:style>
  <w:style w:type="character" w:styleId="WW8Num27z7" w:customStyle="1">
    <w:name w:val="WW8Num27z7"/>
    <w:qFormat w:val="1"/>
    <w:rsid w:val="00061DE5"/>
  </w:style>
  <w:style w:type="character" w:styleId="WW8Num27z8" w:customStyle="1">
    <w:name w:val="WW8Num27z8"/>
    <w:qFormat w:val="1"/>
    <w:rsid w:val="00061DE5"/>
  </w:style>
  <w:style w:type="character" w:styleId="ParagrafoelencoCarattere" w:customStyle="1">
    <w:name w:val="Paragrafo elenco Carattere"/>
    <w:aliases w:val="Bullet edison Carattere,Paragrafo elenco 2 Carattere,Bullet List Carattere,FooterText Carattere,numbered Carattere,Paragraphe de liste1 Carattere,Bulletr List Paragraph Carattere,列出段落 Carattere,列出段落1 Carattere"/>
    <w:uiPriority w:val="34"/>
    <w:qFormat w:val="1"/>
    <w:rsid w:val="00061DE5"/>
  </w:style>
  <w:style w:type="character" w:styleId="ANAC-TitoloSottoparagrafoCarattere" w:customStyle="1">
    <w:name w:val="ANAC - Titolo Sottoparagrafo Carattere"/>
    <w:qFormat w:val="1"/>
    <w:rsid w:val="00061DE5"/>
    <w:rPr>
      <w:rFonts w:ascii="Calibri Light" w:eastAsia="0" w:hAnsi="Calibri Light"/>
      <w:color w:val="2f5496"/>
      <w:sz w:val="28"/>
      <w:szCs w:val="22"/>
    </w:rPr>
  </w:style>
  <w:style w:type="character" w:styleId="ANAC-TitoloParagrafoCarattere" w:customStyle="1">
    <w:name w:val="ANAC - Titolo Paragrafo Carattere"/>
    <w:qFormat w:val="1"/>
    <w:rsid w:val="00061DE5"/>
    <w:rPr>
      <w:rFonts w:ascii="Gotham Light" w:eastAsia="0" w:hAnsi="Gotham Light"/>
      <w:color w:val="2770b7"/>
      <w:sz w:val="28"/>
    </w:rPr>
  </w:style>
  <w:style w:type="character" w:styleId="ANAC-TitoloCapitoloCarattere" w:customStyle="1">
    <w:name w:val="ANAC - Titolo Capitolo Carattere"/>
    <w:qFormat w:val="1"/>
    <w:rsid w:val="00061DE5"/>
    <w:rPr>
      <w:rFonts w:ascii="Gotham Light" w:eastAsia="0" w:hAnsi="Gotham Light"/>
      <w:iCs w:val="1"/>
      <w:color w:val="2f5496"/>
      <w:sz w:val="36"/>
      <w:szCs w:val="40"/>
    </w:rPr>
  </w:style>
  <w:style w:type="character" w:styleId="ANAC-CapitoloCarattere" w:customStyle="1">
    <w:name w:val="ANAC - Capitolo Carattere"/>
    <w:qFormat w:val="1"/>
    <w:rsid w:val="00061DE5"/>
    <w:rPr>
      <w:rFonts w:ascii="Calibri Light" w:eastAsia="0" w:hAnsi="Calibri Light"/>
      <w:color w:val="2f5496"/>
      <w:sz w:val="32"/>
      <w:szCs w:val="32"/>
    </w:rPr>
  </w:style>
  <w:style w:type="character" w:styleId="TitoloParagrafoChar" w:customStyle="1">
    <w:name w:val="Titolo Paragrafo Char"/>
    <w:qFormat w:val="1"/>
    <w:rsid w:val="00061DE5"/>
    <w:rPr>
      <w:rFonts w:ascii="Calibri Light" w:eastAsia="0" w:hAnsi="Calibri Light"/>
      <w:color w:val="2f5496"/>
      <w:sz w:val="28"/>
    </w:rPr>
  </w:style>
  <w:style w:type="character" w:styleId="Titolo7Carattere" w:customStyle="1">
    <w:name w:val="Titolo 7 Carattere"/>
    <w:qFormat w:val="1"/>
    <w:rsid w:val="00061DE5"/>
    <w:rPr>
      <w:rFonts w:ascii="Calibri Light" w:eastAsia="0" w:hAnsi="Calibri Light"/>
      <w:i w:val="1"/>
      <w:iCs w:val="1"/>
      <w:color w:val="1f3763"/>
    </w:rPr>
  </w:style>
  <w:style w:type="character" w:styleId="Titolo6Carattere" w:customStyle="1">
    <w:name w:val="Titolo 6 Carattere"/>
    <w:qFormat w:val="1"/>
    <w:rsid w:val="00061DE5"/>
    <w:rPr>
      <w:rFonts w:ascii="Calibri Light" w:eastAsia="0" w:hAnsi="Calibri Light"/>
      <w:color w:val="1f3763"/>
    </w:rPr>
  </w:style>
  <w:style w:type="character" w:styleId="TitoloCapitoloChar" w:customStyle="1">
    <w:name w:val="Titolo Capitolo Char"/>
    <w:qFormat w:val="1"/>
    <w:rsid w:val="00061DE5"/>
    <w:rPr>
      <w:rFonts w:ascii="Gotham Light" w:eastAsia="0" w:hAnsi="Gotham Light"/>
      <w:iCs w:val="1"/>
      <w:color w:val="2f5496"/>
      <w:sz w:val="36"/>
      <w:szCs w:val="40"/>
    </w:rPr>
  </w:style>
  <w:style w:type="character" w:styleId="NumeroCapitoloChar" w:customStyle="1">
    <w:name w:val="Numero Capitolo Char"/>
    <w:qFormat w:val="1"/>
    <w:rsid w:val="00061DE5"/>
    <w:rPr>
      <w:rFonts w:ascii="Gotham Light" w:eastAsia="0" w:hAnsi="Gotham Light"/>
      <w:color w:val="2770b7"/>
      <w:sz w:val="48"/>
      <w:szCs w:val="36"/>
    </w:rPr>
  </w:style>
  <w:style w:type="character" w:styleId="TitoloParteChar" w:customStyle="1">
    <w:name w:val="Titolo Parte Char"/>
    <w:qFormat w:val="1"/>
    <w:rsid w:val="00061DE5"/>
    <w:rPr>
      <w:rFonts w:ascii="Gotham Book" w:eastAsia="Times New Roman (Corpo CS)" w:hAnsi="Gotham Book"/>
      <w:caps w:val="1"/>
      <w:color w:val="ffffff"/>
      <w:sz w:val="40"/>
      <w:szCs w:val="40"/>
      <w:lang w:eastAsia="zh-CN"/>
    </w:rPr>
  </w:style>
  <w:style w:type="character" w:styleId="ParteNumeroChar" w:customStyle="1">
    <w:name w:val="Parte Numero Char"/>
    <w:qFormat w:val="1"/>
    <w:rsid w:val="00061DE5"/>
    <w:rPr>
      <w:rFonts w:ascii="Gotham Medium" w:eastAsia="Times New Roman (Corpo CS)" w:hAnsi="Gotham Medium"/>
      <w:caps w:val="1"/>
      <w:color w:val="ffffff"/>
      <w:sz w:val="28"/>
      <w:szCs w:val="28"/>
    </w:rPr>
  </w:style>
  <w:style w:type="character" w:styleId="ParagrafobaseChar" w:customStyle="1">
    <w:name w:val="[Paragrafo base] Char"/>
    <w:qFormat w:val="1"/>
    <w:rsid w:val="00061DE5"/>
    <w:rPr>
      <w:rFonts w:ascii="Minion Pro" w:eastAsia="Minion Pro" w:hAnsi="Minion Pro"/>
      <w:color w:val="000000"/>
    </w:rPr>
  </w:style>
  <w:style w:type="character" w:styleId="NessunaspaziaturaCarattere" w:customStyle="1">
    <w:name w:val="Nessuna spaziatura Carattere"/>
    <w:qFormat w:val="1"/>
    <w:rsid w:val="00061DE5"/>
    <w:rPr>
      <w:rFonts w:eastAsia="0"/>
      <w:szCs w:val="22"/>
      <w:lang w:eastAsia="en-US"/>
    </w:rPr>
  </w:style>
  <w:style w:type="character" w:styleId="Caratteridinumerazione" w:customStyle="1">
    <w:name w:val="Caratteri di numerazione"/>
    <w:qFormat w:val="1"/>
    <w:rsid w:val="00061DE5"/>
  </w:style>
  <w:style w:type="character" w:styleId="Menzionenonrisolta1" w:customStyle="1">
    <w:name w:val="Menzione non risolta1"/>
    <w:basedOn w:val="Carpredefinitoparagrafo"/>
    <w:qFormat w:val="1"/>
    <w:rsid w:val="00061DE5"/>
    <w:rPr>
      <w:color w:val="605e5c"/>
      <w:highlight w:val="lightGray"/>
    </w:rPr>
  </w:style>
  <w:style w:type="character" w:styleId="Punti" w:customStyle="1">
    <w:name w:val="Punti"/>
    <w:qFormat w:val="1"/>
    <w:rsid w:val="00061DE5"/>
    <w:rPr>
      <w:rFonts w:ascii="OpenSymbol" w:cs="OpenSymbol" w:eastAsia="OpenSymbol" w:hAnsi="OpenSymbol"/>
    </w:rPr>
  </w:style>
  <w:style w:type="character" w:styleId="Caratterinotaapidipagina" w:customStyle="1">
    <w:name w:val="Caratteri nota a piè di pagina"/>
    <w:qFormat w:val="1"/>
    <w:rsid w:val="00061DE5"/>
  </w:style>
  <w:style w:type="character" w:styleId="Caratterinotadichiusura" w:customStyle="1">
    <w:name w:val="Caratteri nota di chiusura"/>
    <w:qFormat w:val="1"/>
    <w:rsid w:val="00061DE5"/>
  </w:style>
  <w:style w:type="character" w:styleId="CITE" w:customStyle="1">
    <w:name w:val="CITE"/>
    <w:qFormat w:val="1"/>
    <w:rsid w:val="00061DE5"/>
    <w:rPr>
      <w:i w:val="1"/>
    </w:rPr>
  </w:style>
  <w:style w:type="character" w:styleId="CODE" w:customStyle="1">
    <w:name w:val="CODE"/>
    <w:qFormat w:val="1"/>
    <w:rsid w:val="00061DE5"/>
    <w:rPr>
      <w:rFonts w:ascii="Courier New" w:hAnsi="Courier New"/>
      <w:sz w:val="20"/>
    </w:rPr>
  </w:style>
  <w:style w:type="character" w:styleId="Keyboard" w:customStyle="1">
    <w:name w:val="Keyboard"/>
    <w:qFormat w:val="1"/>
    <w:rsid w:val="00061DE5"/>
    <w:rPr>
      <w:rFonts w:ascii="Courier New" w:hAnsi="Courier New"/>
      <w:b w:val="1"/>
      <w:sz w:val="20"/>
    </w:rPr>
  </w:style>
  <w:style w:type="character" w:styleId="Sample" w:customStyle="1">
    <w:name w:val="Sample"/>
    <w:qFormat w:val="1"/>
    <w:rsid w:val="00061DE5"/>
    <w:rPr>
      <w:rFonts w:ascii="Courier New" w:hAnsi="Courier New"/>
    </w:rPr>
  </w:style>
  <w:style w:type="character" w:styleId="Typewriter" w:customStyle="1">
    <w:name w:val="Typewriter"/>
    <w:qFormat w:val="1"/>
    <w:rsid w:val="00061DE5"/>
    <w:rPr>
      <w:rFonts w:ascii="Courier New" w:hAnsi="Courier New"/>
      <w:sz w:val="20"/>
    </w:rPr>
  </w:style>
  <w:style w:type="character" w:styleId="HTMLMarkup" w:customStyle="1">
    <w:name w:val="HTML Markup"/>
    <w:qFormat w:val="1"/>
    <w:rsid w:val="00061DE5"/>
    <w:rPr>
      <w:vanish w:val="1"/>
      <w:color w:val="ff0000"/>
    </w:rPr>
  </w:style>
  <w:style w:type="character" w:styleId="Comment" w:customStyle="1">
    <w:name w:val="Comment"/>
    <w:qFormat w:val="1"/>
    <w:rsid w:val="00061DE5"/>
    <w:rPr>
      <w:vanish w:val="1"/>
    </w:rPr>
  </w:style>
  <w:style w:type="character" w:styleId="TitoloCarattere1" w:customStyle="1">
    <w:name w:val="Titolo Carattere1"/>
    <w:basedOn w:val="Carpredefinitoparagrafo"/>
    <w:link w:val="Titolo"/>
    <w:rsid w:val="00061DE5"/>
    <w:rPr>
      <w:rFonts w:ascii="Arial" w:cs="Arial Unicode MS" w:eastAsia="Arial Unicode MS" w:hAnsi="Arial"/>
      <w:kern w:val="2"/>
      <w:sz w:val="28"/>
      <w:szCs w:val="28"/>
    </w:rPr>
  </w:style>
  <w:style w:type="character" w:styleId="CorpotestoCarattere2" w:customStyle="1">
    <w:name w:val="Corpo testo Carattere2"/>
    <w:basedOn w:val="Carpredefinitoparagrafo"/>
    <w:link w:val="Corpotesto"/>
    <w:rsid w:val="00061DE5"/>
    <w:rPr>
      <w:rFonts w:ascii="Times New Roman" w:cs="Mangal;Courier" w:eastAsia="SimSun;宋体" w:hAnsi="Times New Roman"/>
      <w:kern w:val="2"/>
    </w:rPr>
  </w:style>
  <w:style w:type="paragraph" w:styleId="Default" w:customStyle="1">
    <w:name w:val="Default"/>
    <w:qFormat w:val="1"/>
    <w:rsid w:val="00061DE5"/>
    <w:pPr>
      <w:spacing w:line="276" w:lineRule="auto"/>
      <w:jc w:val="both"/>
    </w:pPr>
    <w:rPr>
      <w:rFonts w:ascii="Book-Antiqua,Bold" w:cs="Book-Antiqua,Bold" w:eastAsia="Calibri" w:hAnsi="Book-Antiqua,Bold"/>
      <w:color w:val="000000"/>
    </w:rPr>
  </w:style>
  <w:style w:type="paragraph" w:styleId="Testofumetto">
    <w:name w:val="Balloon Text"/>
    <w:basedOn w:val="Normale"/>
    <w:link w:val="TestofumettoCarattere1"/>
    <w:qFormat w:val="1"/>
    <w:rsid w:val="00061DE5"/>
    <w:pPr>
      <w:widowControl w:val="1"/>
      <w:jc w:val="both"/>
    </w:pPr>
    <w:rPr>
      <w:rFonts w:ascii="Tahoma" w:cs="Times New Roman" w:eastAsia="Calibri" w:hAnsi="Tahoma"/>
      <w:kern w:val="0"/>
      <w:sz w:val="16"/>
      <w:szCs w:val="16"/>
      <w:lang w:eastAsia="x-none" w:val="x-none"/>
    </w:rPr>
  </w:style>
  <w:style w:type="character" w:styleId="TestofumettoCarattere1" w:customStyle="1">
    <w:name w:val="Testo fumetto Carattere1"/>
    <w:basedOn w:val="Carpredefinitoparagrafo"/>
    <w:link w:val="Testofumetto"/>
    <w:rsid w:val="00061DE5"/>
    <w:rPr>
      <w:rFonts w:ascii="Tahoma" w:cs="Times New Roman" w:eastAsia="Calibri" w:hAnsi="Tahoma"/>
      <w:sz w:val="16"/>
      <w:szCs w:val="16"/>
      <w:lang w:bidi="ar-SA" w:eastAsia="x-none" w:val="x-none"/>
    </w:rPr>
  </w:style>
  <w:style w:type="paragraph" w:styleId="Paragrafoelenco1" w:customStyle="1">
    <w:name w:val="Paragrafo elenco1"/>
    <w:basedOn w:val="Normale"/>
    <w:qFormat w:val="1"/>
    <w:rsid w:val="00061DE5"/>
    <w:pPr>
      <w:widowControl w:val="1"/>
      <w:spacing w:after="280" w:before="280" w:line="240" w:lineRule="atLeast"/>
      <w:ind w:left="720"/>
      <w:contextualSpacing w:val="1"/>
      <w:jc w:val="both"/>
    </w:pPr>
    <w:rPr>
      <w:rFonts w:ascii="Garamond" w:cs="Times New Roman" w:eastAsia="Calibri" w:hAnsi="Garamond"/>
      <w:kern w:val="0"/>
      <w:szCs w:val="22"/>
    </w:rPr>
  </w:style>
  <w:style w:type="character" w:styleId="IntestazioneCarattere1" w:customStyle="1">
    <w:name w:val="Intestazione Carattere1"/>
    <w:basedOn w:val="Carpredefinitoparagrafo"/>
    <w:link w:val="Intestazione"/>
    <w:rsid w:val="00061DE5"/>
    <w:rPr>
      <w:rFonts w:ascii="Times New Roman" w:cs="Mangal;Courier" w:eastAsia="SimSun;宋体" w:hAnsi="Times New Roman"/>
      <w:kern w:val="2"/>
    </w:rPr>
  </w:style>
  <w:style w:type="character" w:styleId="PidipaginaCarattere1" w:customStyle="1">
    <w:name w:val="Piè di pagina Carattere1"/>
    <w:basedOn w:val="Carpredefinitoparagrafo"/>
    <w:link w:val="Pidipagina"/>
    <w:rsid w:val="00061DE5"/>
    <w:rPr>
      <w:rFonts w:ascii="Times New Roman" w:cs="Mangal;Courier" w:eastAsia="SimSun;宋体" w:hAnsi="Times New Roman"/>
      <w:kern w:val="2"/>
    </w:rPr>
  </w:style>
  <w:style w:type="paragraph" w:styleId="Testonotaapidipagina">
    <w:name w:val="footnote text"/>
    <w:basedOn w:val="Normale"/>
    <w:link w:val="TestonotaapidipaginaCarattere1"/>
    <w:rsid w:val="00061DE5"/>
    <w:pPr>
      <w:widowControl w:val="1"/>
      <w:spacing w:after="280" w:before="280"/>
      <w:jc w:val="both"/>
    </w:pPr>
    <w:rPr>
      <w:rFonts w:ascii="Garamond" w:cs="Times New Roman" w:eastAsia="Times New Roman" w:hAnsi="Garamond"/>
      <w:kern w:val="0"/>
      <w:sz w:val="20"/>
      <w:szCs w:val="20"/>
      <w:lang w:val="x-none"/>
    </w:rPr>
  </w:style>
  <w:style w:type="character" w:styleId="TestonotaapidipaginaCarattere1" w:customStyle="1">
    <w:name w:val="Testo nota a piè di pagina Carattere1"/>
    <w:basedOn w:val="Carpredefinitoparagrafo"/>
    <w:link w:val="Testonotaapidipagina"/>
    <w:rsid w:val="00061DE5"/>
    <w:rPr>
      <w:rFonts w:ascii="Garamond" w:cs="Times New Roman" w:eastAsia="Times New Roman" w:hAnsi="Garamond"/>
      <w:sz w:val="20"/>
      <w:szCs w:val="20"/>
      <w:lang w:bidi="ar-SA" w:eastAsia="it-IT" w:val="x-none"/>
    </w:rPr>
  </w:style>
  <w:style w:type="paragraph" w:styleId="provvr0" w:customStyle="1">
    <w:name w:val="provv_r0"/>
    <w:basedOn w:val="Normale"/>
    <w:qFormat w:val="1"/>
    <w:rsid w:val="00061DE5"/>
    <w:pPr>
      <w:widowControl w:val="1"/>
      <w:spacing w:after="280" w:before="280"/>
      <w:jc w:val="both"/>
    </w:pPr>
    <w:rPr>
      <w:rFonts w:cs="Times New Roman" w:eastAsia="Calibri"/>
      <w:kern w:val="0"/>
    </w:rPr>
  </w:style>
  <w:style w:type="paragraph" w:styleId="popolo" w:customStyle="1">
    <w:name w:val="popolo"/>
    <w:basedOn w:val="Normale"/>
    <w:qFormat w:val="1"/>
    <w:rsid w:val="00061DE5"/>
    <w:pPr>
      <w:widowControl w:val="1"/>
      <w:spacing w:after="280" w:before="280"/>
      <w:jc w:val="both"/>
    </w:pPr>
    <w:rPr>
      <w:rFonts w:ascii="Garamond" w:cs="Times New Roman" w:eastAsia="Calibri" w:hAnsi="Garamond"/>
      <w:kern w:val="0"/>
      <w:sz w:val="30"/>
      <w:szCs w:val="30"/>
    </w:rPr>
  </w:style>
  <w:style w:type="paragraph" w:styleId="Stile1" w:customStyle="1">
    <w:name w:val="Stile1"/>
    <w:basedOn w:val="Titolo1"/>
    <w:qFormat w:val="1"/>
    <w:rsid w:val="00061DE5"/>
    <w:pPr>
      <w:spacing w:line="240" w:lineRule="atLeast"/>
    </w:pPr>
    <w:rPr>
      <w:rFonts w:ascii="Times New Roman" w:hAnsi="Times New Roman"/>
      <w:lang w:eastAsia="it-IT"/>
    </w:rPr>
  </w:style>
  <w:style w:type="paragraph" w:styleId="Sommario1">
    <w:name w:val="toc 1"/>
    <w:basedOn w:val="Normale"/>
    <w:next w:val="Normale"/>
    <w:autoRedefine w:val="1"/>
    <w:uiPriority w:val="39"/>
    <w:rsid w:val="00061DE5"/>
    <w:pPr>
      <w:widowControl w:val="1"/>
      <w:tabs>
        <w:tab w:val="left" w:leader="dot" w:pos="284"/>
        <w:tab w:val="right" w:leader="dot" w:pos="9629"/>
      </w:tabs>
      <w:spacing w:line="276" w:lineRule="auto"/>
    </w:pPr>
    <w:rPr>
      <w:rFonts w:ascii="Garamond" w:cs="Times New Roman" w:eastAsia="Times New Roman" w:hAnsi="Garamond"/>
      <w:bCs w:val="1"/>
      <w:kern w:val="0"/>
      <w:sz w:val="20"/>
      <w:szCs w:val="20"/>
      <w:lang w:eastAsia="en-US"/>
    </w:rPr>
  </w:style>
  <w:style w:type="paragraph" w:styleId="Sommario2">
    <w:name w:val="toc 2"/>
    <w:basedOn w:val="Normale"/>
    <w:next w:val="Sommario3"/>
    <w:autoRedefine w:val="1"/>
    <w:uiPriority w:val="39"/>
    <w:rsid w:val="00061DE5"/>
    <w:pPr>
      <w:widowControl w:val="1"/>
      <w:tabs>
        <w:tab w:val="left" w:pos="440"/>
        <w:tab w:val="right" w:leader="dot" w:pos="9629"/>
      </w:tabs>
      <w:spacing w:line="336" w:lineRule="auto"/>
      <w:ind w:left="442" w:hanging="442"/>
      <w:jc w:val="both"/>
    </w:pPr>
    <w:rPr>
      <w:rFonts w:ascii="Garamond" w:cs="Times New Roman" w:eastAsia="Times New Roman" w:hAnsi="Garamond"/>
      <w:smallCaps w:val="1"/>
      <w:kern w:val="0"/>
      <w:sz w:val="20"/>
      <w:szCs w:val="20"/>
      <w:lang w:eastAsia="en-US"/>
    </w:rPr>
  </w:style>
  <w:style w:type="paragraph" w:styleId="Nessunaspaziatura1" w:customStyle="1">
    <w:name w:val="Nessuna spaziatura1"/>
    <w:qFormat w:val="1"/>
    <w:rsid w:val="00061DE5"/>
    <w:pPr>
      <w:spacing w:line="276" w:lineRule="auto"/>
      <w:jc w:val="both"/>
    </w:pPr>
    <w:rPr>
      <w:rFonts w:ascii="Calibri" w:eastAsia="Calibri" w:hAnsi="Calibri"/>
      <w:sz w:val="22"/>
      <w:szCs w:val="22"/>
      <w:lang w:eastAsia="en-US"/>
    </w:rPr>
  </w:style>
  <w:style w:type="paragraph" w:styleId="NormaleWeb">
    <w:name w:val="Normal (Web)"/>
    <w:basedOn w:val="Normale"/>
    <w:qFormat w:val="1"/>
    <w:rsid w:val="00061DE5"/>
    <w:pPr>
      <w:widowControl w:val="1"/>
      <w:spacing w:after="280" w:before="280" w:line="240" w:lineRule="atLeast"/>
      <w:jc w:val="both"/>
    </w:pPr>
    <w:rPr>
      <w:rFonts w:ascii="Arial" w:cs="Arial" w:eastAsia="Calibri" w:hAnsi="Arial"/>
      <w:color w:val="2a2a2a"/>
      <w:kern w:val="0"/>
      <w:sz w:val="18"/>
      <w:szCs w:val="18"/>
    </w:rPr>
  </w:style>
  <w:style w:type="paragraph" w:styleId="Titolosommario1" w:customStyle="1">
    <w:name w:val="Titolo sommario1"/>
    <w:basedOn w:val="Titolo1"/>
    <w:next w:val="Normale"/>
    <w:qFormat w:val="1"/>
    <w:rsid w:val="00061DE5"/>
  </w:style>
  <w:style w:type="paragraph" w:styleId="Testonotadichiusura">
    <w:name w:val="endnote text"/>
    <w:basedOn w:val="Normale"/>
    <w:link w:val="TestonotadichiusuraCarattere1"/>
    <w:rsid w:val="00061DE5"/>
    <w:pPr>
      <w:widowControl w:val="1"/>
      <w:spacing w:line="276" w:lineRule="auto"/>
      <w:jc w:val="both"/>
    </w:pPr>
    <w:rPr>
      <w:rFonts w:ascii="Garamond" w:cs="Times New Roman" w:eastAsia="Times New Roman" w:hAnsi="Garamond"/>
      <w:kern w:val="0"/>
      <w:sz w:val="20"/>
      <w:szCs w:val="20"/>
      <w:lang w:eastAsia="en-US" w:val="x-none"/>
    </w:rPr>
  </w:style>
  <w:style w:type="character" w:styleId="TestonotadichiusuraCarattere1" w:customStyle="1">
    <w:name w:val="Testo nota di chiusura Carattere1"/>
    <w:basedOn w:val="Carpredefinitoparagrafo"/>
    <w:link w:val="Testonotadichiusura"/>
    <w:rsid w:val="00061DE5"/>
    <w:rPr>
      <w:rFonts w:ascii="Garamond" w:cs="Times New Roman" w:eastAsia="Times New Roman" w:hAnsi="Garamond"/>
      <w:sz w:val="20"/>
      <w:szCs w:val="20"/>
      <w:lang w:bidi="ar-SA" w:eastAsia="en-US" w:val="x-none"/>
    </w:rPr>
  </w:style>
  <w:style w:type="paragraph" w:styleId="provvr1" w:customStyle="1">
    <w:name w:val="provv_r1"/>
    <w:basedOn w:val="Normale"/>
    <w:qFormat w:val="1"/>
    <w:rsid w:val="00061DE5"/>
    <w:pPr>
      <w:widowControl w:val="1"/>
      <w:spacing w:after="280" w:before="280"/>
      <w:ind w:firstLine="400"/>
      <w:jc w:val="both"/>
    </w:pPr>
    <w:rPr>
      <w:rFonts w:cs="Times New Roman" w:eastAsia="Times New Roman"/>
      <w:kern w:val="0"/>
    </w:rPr>
  </w:style>
  <w:style w:type="paragraph" w:styleId="Testocommento">
    <w:name w:val="annotation text"/>
    <w:basedOn w:val="Normale"/>
    <w:link w:val="TestocommentoCarattere1"/>
    <w:qFormat w:val="1"/>
    <w:rsid w:val="00061DE5"/>
    <w:pPr>
      <w:widowControl w:val="1"/>
      <w:spacing w:line="276" w:lineRule="auto"/>
      <w:jc w:val="both"/>
    </w:pPr>
    <w:rPr>
      <w:rFonts w:ascii="Garamond" w:cs="Times New Roman" w:eastAsia="Times New Roman" w:hAnsi="Garamond"/>
      <w:kern w:val="0"/>
      <w:sz w:val="20"/>
      <w:szCs w:val="20"/>
      <w:lang w:eastAsia="en-US" w:val="x-none"/>
    </w:rPr>
  </w:style>
  <w:style w:type="character" w:styleId="TestocommentoCarattere1" w:customStyle="1">
    <w:name w:val="Testo commento Carattere1"/>
    <w:basedOn w:val="Carpredefinitoparagrafo"/>
    <w:link w:val="Testocommento"/>
    <w:rsid w:val="00061DE5"/>
    <w:rPr>
      <w:rFonts w:ascii="Garamond" w:cs="Times New Roman" w:eastAsia="Times New Roman" w:hAnsi="Garamond"/>
      <w:sz w:val="20"/>
      <w:szCs w:val="20"/>
      <w:lang w:bidi="ar-SA" w:eastAsia="en-US" w:val="x-none"/>
    </w:rPr>
  </w:style>
  <w:style w:type="paragraph" w:styleId="Soggettocommento">
    <w:name w:val="annotation subject"/>
    <w:basedOn w:val="Testocommento"/>
    <w:next w:val="Testocommento"/>
    <w:link w:val="SoggettocommentoCarattere1"/>
    <w:qFormat w:val="1"/>
    <w:rsid w:val="00061DE5"/>
    <w:rPr>
      <w:b w:val="1"/>
      <w:bCs w:val="1"/>
    </w:rPr>
  </w:style>
  <w:style w:type="character" w:styleId="SoggettocommentoCarattere1" w:customStyle="1">
    <w:name w:val="Soggetto commento Carattere1"/>
    <w:basedOn w:val="TestocommentoCarattere1"/>
    <w:link w:val="Soggettocommento"/>
    <w:rsid w:val="00061DE5"/>
    <w:rPr>
      <w:rFonts w:ascii="Garamond" w:cs="Times New Roman" w:eastAsia="Times New Roman" w:hAnsi="Garamond"/>
      <w:b w:val="1"/>
      <w:bCs w:val="1"/>
      <w:sz w:val="20"/>
      <w:szCs w:val="20"/>
      <w:lang w:bidi="ar-SA" w:eastAsia="en-US" w:val="x-none"/>
    </w:rPr>
  </w:style>
  <w:style w:type="paragraph" w:styleId="stile10" w:customStyle="1">
    <w:name w:val="stile1"/>
    <w:basedOn w:val="Normale"/>
    <w:qFormat w:val="1"/>
    <w:rsid w:val="00061DE5"/>
    <w:pPr>
      <w:widowControl w:val="1"/>
      <w:spacing w:after="280" w:before="280"/>
      <w:jc w:val="both"/>
    </w:pPr>
    <w:rPr>
      <w:rFonts w:cs="Times New Roman" w:eastAsia="Times New Roman"/>
      <w:kern w:val="0"/>
    </w:rPr>
  </w:style>
  <w:style w:type="paragraph" w:styleId="bollo" w:customStyle="1">
    <w:name w:val="bollo"/>
    <w:basedOn w:val="Normale"/>
    <w:qFormat w:val="1"/>
    <w:rsid w:val="00061DE5"/>
    <w:pPr>
      <w:widowControl w:val="1"/>
      <w:spacing w:line="567" w:lineRule="atLeast"/>
      <w:jc w:val="both"/>
    </w:pPr>
    <w:rPr>
      <w:rFonts w:cs="Times New Roman" w:eastAsia="Times New Roman"/>
      <w:kern w:val="0"/>
      <w:szCs w:val="2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val="1"/>
    <w:rsid w:val="00061DE5"/>
    <w:pPr>
      <w:widowControl w:val="1"/>
      <w:spacing w:line="276" w:lineRule="auto"/>
      <w:ind w:left="720"/>
      <w:jc w:val="both"/>
    </w:pPr>
    <w:rPr>
      <w:rFonts w:ascii="Garamond" w:cs="Times New Roman" w:eastAsia="Calibri" w:hAnsi="Garamond"/>
      <w:kern w:val="0"/>
      <w:szCs w:val="22"/>
    </w:rPr>
  </w:style>
  <w:style w:type="paragraph" w:styleId="provvnota" w:customStyle="1">
    <w:name w:val="provv_nota"/>
    <w:basedOn w:val="Normale"/>
    <w:qFormat w:val="1"/>
    <w:rsid w:val="00061DE5"/>
    <w:pPr>
      <w:widowControl w:val="1"/>
      <w:spacing w:after="280" w:before="280"/>
      <w:jc w:val="both"/>
    </w:pPr>
    <w:rPr>
      <w:rFonts w:cs="Times New Roman" w:eastAsia="Times New Roman"/>
      <w:kern w:val="0"/>
    </w:rPr>
  </w:style>
  <w:style w:type="paragraph" w:styleId="provvestremo" w:customStyle="1">
    <w:name w:val="provv_estremo"/>
    <w:basedOn w:val="Normale"/>
    <w:qFormat w:val="1"/>
    <w:rsid w:val="00061DE5"/>
    <w:pPr>
      <w:widowControl w:val="1"/>
      <w:spacing w:after="280" w:before="280"/>
      <w:jc w:val="both"/>
    </w:pPr>
    <w:rPr>
      <w:rFonts w:cs="Times New Roman" w:eastAsia="Times New Roman"/>
      <w:b w:val="1"/>
      <w:bCs w:val="1"/>
      <w:kern w:val="0"/>
    </w:rPr>
  </w:style>
  <w:style w:type="paragraph" w:styleId="Paragrafoelenco11" w:customStyle="1">
    <w:name w:val="Paragrafo elenco11"/>
    <w:basedOn w:val="Normale"/>
    <w:qFormat w:val="1"/>
    <w:rsid w:val="00061DE5"/>
    <w:pPr>
      <w:widowControl w:val="1"/>
      <w:spacing w:after="280" w:before="280" w:line="240" w:lineRule="atLeast"/>
      <w:ind w:left="720"/>
      <w:contextualSpacing w:val="1"/>
      <w:jc w:val="both"/>
    </w:pPr>
    <w:rPr>
      <w:rFonts w:ascii="Garamond" w:cs="Times New Roman" w:eastAsia="Calibri" w:hAnsi="Garamond"/>
      <w:kern w:val="0"/>
      <w:szCs w:val="22"/>
    </w:rPr>
  </w:style>
  <w:style w:type="paragraph" w:styleId="Revisione">
    <w:name w:val="Revision"/>
    <w:qFormat w:val="1"/>
    <w:rsid w:val="00061DE5"/>
    <w:pPr>
      <w:spacing w:line="276" w:lineRule="auto"/>
      <w:jc w:val="both"/>
    </w:pPr>
    <w:rPr>
      <w:rFonts w:ascii="Calibri" w:hAnsi="Calibri"/>
      <w:sz w:val="22"/>
      <w:szCs w:val="22"/>
      <w:lang w:eastAsia="en-US"/>
    </w:rPr>
  </w:style>
  <w:style w:type="paragraph" w:styleId="Rientrocorpodeltesto3">
    <w:name w:val="Body Text Indent 3"/>
    <w:basedOn w:val="Normale"/>
    <w:link w:val="Rientrocorpodeltesto3Carattere1"/>
    <w:qFormat w:val="1"/>
    <w:rsid w:val="00061DE5"/>
    <w:pPr>
      <w:widowControl w:val="1"/>
      <w:spacing w:after="120" w:line="276" w:lineRule="auto"/>
      <w:ind w:left="283"/>
      <w:jc w:val="both"/>
    </w:pPr>
    <w:rPr>
      <w:rFonts w:ascii="Garamond" w:cs="Times New Roman" w:eastAsia="Times New Roman" w:hAnsi="Garamond"/>
      <w:kern w:val="0"/>
      <w:sz w:val="16"/>
      <w:szCs w:val="16"/>
      <w:lang w:eastAsia="en-US" w:val="x-none"/>
    </w:rPr>
  </w:style>
  <w:style w:type="character" w:styleId="Rientrocorpodeltesto3Carattere1" w:customStyle="1">
    <w:name w:val="Rientro corpo del testo 3 Carattere1"/>
    <w:basedOn w:val="Carpredefinitoparagrafo"/>
    <w:link w:val="Rientrocorpodeltesto3"/>
    <w:rsid w:val="00061DE5"/>
    <w:rPr>
      <w:rFonts w:ascii="Garamond" w:cs="Times New Roman" w:eastAsia="Times New Roman" w:hAnsi="Garamond"/>
      <w:sz w:val="16"/>
      <w:szCs w:val="16"/>
      <w:lang w:bidi="ar-SA" w:eastAsia="en-US" w:val="x-none"/>
    </w:rPr>
  </w:style>
  <w:style w:type="paragraph" w:styleId="Rub1" w:customStyle="1">
    <w:name w:val="Rub1"/>
    <w:basedOn w:val="Normale"/>
    <w:qFormat w:val="1"/>
    <w:rsid w:val="00061DE5"/>
    <w:pPr>
      <w:widowControl w:val="1"/>
      <w:tabs>
        <w:tab w:val="left" w:pos="1276"/>
      </w:tabs>
      <w:jc w:val="both"/>
    </w:pPr>
    <w:rPr>
      <w:rFonts w:cs="Times New Roman" w:eastAsia="Times New Roman"/>
      <w:b w:val="1"/>
      <w:smallCaps w:val="1"/>
      <w:kern w:val="0"/>
      <w:sz w:val="20"/>
      <w:szCs w:val="20"/>
    </w:rPr>
  </w:style>
  <w:style w:type="paragraph" w:styleId="Corpodeltesto2">
    <w:name w:val="Body Text 2"/>
    <w:basedOn w:val="Normale"/>
    <w:link w:val="Corpodeltesto2Carattere1"/>
    <w:qFormat w:val="1"/>
    <w:rsid w:val="00061DE5"/>
    <w:pPr>
      <w:widowControl w:val="1"/>
      <w:spacing w:after="120" w:line="480" w:lineRule="auto"/>
      <w:jc w:val="both"/>
    </w:pPr>
    <w:rPr>
      <w:rFonts w:ascii="Garamond" w:cs="Times New Roman" w:eastAsia="Times New Roman" w:hAnsi="Garamond"/>
      <w:kern w:val="0"/>
      <w:szCs w:val="22"/>
      <w:lang w:eastAsia="en-US" w:val="x-none"/>
    </w:rPr>
  </w:style>
  <w:style w:type="character" w:styleId="Corpodeltesto2Carattere1" w:customStyle="1">
    <w:name w:val="Corpo del testo 2 Carattere1"/>
    <w:basedOn w:val="Carpredefinitoparagrafo"/>
    <w:link w:val="Corpodeltesto2"/>
    <w:rsid w:val="00061DE5"/>
    <w:rPr>
      <w:rFonts w:ascii="Garamond" w:cs="Times New Roman" w:eastAsia="Times New Roman" w:hAnsi="Garamond"/>
      <w:szCs w:val="22"/>
      <w:lang w:bidi="ar-SA" w:eastAsia="en-US" w:val="x-none"/>
    </w:rPr>
  </w:style>
  <w:style w:type="paragraph" w:styleId="Rientrocorpodeltesto21" w:customStyle="1">
    <w:name w:val="Rientro corpo del testo 21"/>
    <w:basedOn w:val="Normale"/>
    <w:qFormat w:val="1"/>
    <w:rsid w:val="00061DE5"/>
    <w:pPr>
      <w:widowControl w:val="1"/>
      <w:ind w:left="360"/>
      <w:jc w:val="both"/>
    </w:pPr>
    <w:rPr>
      <w:rFonts w:cs="Times New Roman" w:eastAsia="Times New Roman"/>
      <w:kern w:val="0"/>
      <w:szCs w:val="20"/>
    </w:rPr>
  </w:style>
  <w:style w:type="paragraph" w:styleId="noteapi" w:customStyle="1">
    <w:name w:val="note a piè"/>
    <w:basedOn w:val="Testonotaapidipagina"/>
    <w:qFormat w:val="1"/>
    <w:rsid w:val="00061DE5"/>
    <w:rPr>
      <w:rFonts w:ascii="Times New Roman" w:hAnsi="Times New Roman"/>
    </w:rPr>
  </w:style>
  <w:style w:type="paragraph" w:styleId="Mappadocumento">
    <w:name w:val="Document Map"/>
    <w:basedOn w:val="Normale"/>
    <w:link w:val="MappadocumentoCarattere1"/>
    <w:qFormat w:val="1"/>
    <w:rsid w:val="00061DE5"/>
    <w:pPr>
      <w:widowControl w:val="1"/>
      <w:spacing w:line="276" w:lineRule="auto"/>
      <w:jc w:val="both"/>
    </w:pPr>
    <w:rPr>
      <w:rFonts w:ascii="Tahoma" w:cs="Times New Roman" w:eastAsia="Times New Roman" w:hAnsi="Tahoma"/>
      <w:kern w:val="0"/>
      <w:sz w:val="16"/>
      <w:szCs w:val="16"/>
      <w:lang w:eastAsia="en-US" w:val="x-none"/>
    </w:rPr>
  </w:style>
  <w:style w:type="character" w:styleId="MappadocumentoCarattere1" w:customStyle="1">
    <w:name w:val="Mappa documento Carattere1"/>
    <w:basedOn w:val="Carpredefinitoparagrafo"/>
    <w:link w:val="Mappadocumento"/>
    <w:rsid w:val="00061DE5"/>
    <w:rPr>
      <w:rFonts w:ascii="Tahoma" w:cs="Times New Roman" w:eastAsia="Times New Roman" w:hAnsi="Tahoma"/>
      <w:sz w:val="16"/>
      <w:szCs w:val="16"/>
      <w:lang w:bidi="ar-SA" w:eastAsia="en-US" w:val="x-none"/>
    </w:rPr>
  </w:style>
  <w:style w:type="paragraph" w:styleId="grassetto1" w:customStyle="1">
    <w:name w:val="grassetto1"/>
    <w:basedOn w:val="Normale"/>
    <w:qFormat w:val="1"/>
    <w:rsid w:val="00061DE5"/>
    <w:pPr>
      <w:widowControl w:val="1"/>
      <w:spacing w:after="24"/>
    </w:pPr>
    <w:rPr>
      <w:rFonts w:cs="Times New Roman" w:eastAsia="Times New Roman"/>
      <w:b w:val="1"/>
      <w:bCs w:val="1"/>
      <w:kern w:val="0"/>
    </w:rPr>
  </w:style>
  <w:style w:type="paragraph" w:styleId="Sottotitolo">
    <w:name w:val="Subtitle"/>
    <w:basedOn w:val="Normale"/>
    <w:next w:val="Normale"/>
    <w:link w:val="SottotitoloCarattere1"/>
    <w:uiPriority w:val="11"/>
    <w:qFormat w:val="1"/>
    <w:pPr>
      <w:widowControl w:val="1"/>
      <w:spacing w:after="60" w:line="276" w:lineRule="auto"/>
      <w:jc w:val="center"/>
    </w:pPr>
    <w:rPr>
      <w:rFonts w:ascii="Cambria" w:cs="Cambria" w:eastAsia="Cambria" w:hAnsi="Cambria"/>
    </w:rPr>
  </w:style>
  <w:style w:type="character" w:styleId="SottotitoloCarattere1" w:customStyle="1">
    <w:name w:val="Sottotitolo Carattere1"/>
    <w:basedOn w:val="Carpredefinitoparagrafo"/>
    <w:link w:val="Sottotitolo"/>
    <w:rsid w:val="00061DE5"/>
    <w:rPr>
      <w:rFonts w:ascii="Cambria" w:cs="Times New Roman" w:eastAsia="Times New Roman" w:hAnsi="Cambria"/>
      <w:lang w:bidi="ar-SA" w:eastAsia="en-US" w:val="x-none"/>
    </w:rPr>
  </w:style>
  <w:style w:type="paragraph" w:styleId="Titolosommario">
    <w:name w:val="TOC Heading"/>
    <w:basedOn w:val="Titolo1"/>
    <w:next w:val="Normale"/>
    <w:uiPriority w:val="39"/>
    <w:qFormat w:val="1"/>
    <w:rsid w:val="00061DE5"/>
    <w:pPr>
      <w:jc w:val="left"/>
    </w:pPr>
    <w:rPr>
      <w:rFonts w:eastAsia="Times New Roman"/>
      <w:lang w:eastAsia="it-IT" w:val="it-IT"/>
    </w:rPr>
  </w:style>
  <w:style w:type="paragraph" w:styleId="provvc" w:customStyle="1">
    <w:name w:val="provv_c"/>
    <w:basedOn w:val="Normale"/>
    <w:qFormat w:val="1"/>
    <w:rsid w:val="00061DE5"/>
    <w:pPr>
      <w:widowControl w:val="1"/>
      <w:spacing w:after="280" w:before="280"/>
      <w:jc w:val="center"/>
    </w:pPr>
    <w:rPr>
      <w:rFonts w:cs="Times New Roman" w:eastAsia="Times New Roman"/>
      <w:kern w:val="0"/>
    </w:rPr>
  </w:style>
  <w:style w:type="paragraph" w:styleId="Sommario3">
    <w:name w:val="toc 3"/>
    <w:basedOn w:val="Normale"/>
    <w:next w:val="Normale"/>
    <w:autoRedefine w:val="1"/>
    <w:uiPriority w:val="39"/>
    <w:rsid w:val="00061DE5"/>
    <w:pPr>
      <w:widowControl w:val="1"/>
      <w:tabs>
        <w:tab w:val="left" w:pos="1100"/>
        <w:tab w:val="right" w:leader="dot" w:pos="9629"/>
      </w:tabs>
      <w:ind w:left="896" w:hanging="454"/>
    </w:pPr>
    <w:rPr>
      <w:rFonts w:ascii="Garamond" w:cs="Times New Roman" w:eastAsia="Times New Roman" w:hAnsi="Garamond"/>
      <w:iCs w:val="1"/>
      <w:kern w:val="0"/>
      <w:sz w:val="20"/>
      <w:szCs w:val="20"/>
      <w:lang w:eastAsia="en-US"/>
    </w:rPr>
  </w:style>
  <w:style w:type="paragraph" w:styleId="Rientrocorpodeltesto211" w:customStyle="1">
    <w:name w:val="Rientro corpo del testo 211"/>
    <w:basedOn w:val="Normale"/>
    <w:qFormat w:val="1"/>
    <w:rsid w:val="00061DE5"/>
    <w:pPr>
      <w:widowControl w:val="1"/>
      <w:ind w:left="360"/>
      <w:jc w:val="both"/>
    </w:pPr>
    <w:rPr>
      <w:rFonts w:cs="Times New Roman" w:eastAsia="Times New Roman"/>
      <w:kern w:val="0"/>
      <w:szCs w:val="20"/>
    </w:rPr>
  </w:style>
  <w:style w:type="paragraph" w:styleId="Rientrocorpodeltesto2">
    <w:name w:val="Body Text Indent 2"/>
    <w:basedOn w:val="Normale"/>
    <w:link w:val="Rientrocorpodeltesto2Carattere1"/>
    <w:qFormat w:val="1"/>
    <w:rsid w:val="00061DE5"/>
    <w:pPr>
      <w:widowControl w:val="1"/>
      <w:tabs>
        <w:tab w:val="left" w:pos="1068"/>
      </w:tabs>
      <w:ind w:left="720"/>
      <w:jc w:val="both"/>
    </w:pPr>
    <w:rPr>
      <w:rFonts w:cs="Times New Roman" w:eastAsia="Times New Roman"/>
      <w:kern w:val="0"/>
    </w:rPr>
  </w:style>
  <w:style w:type="character" w:styleId="Rientrocorpodeltesto2Carattere1" w:customStyle="1">
    <w:name w:val="Rientro corpo del testo 2 Carattere1"/>
    <w:basedOn w:val="Carpredefinitoparagrafo"/>
    <w:link w:val="Rientrocorpodeltesto2"/>
    <w:rsid w:val="00061DE5"/>
    <w:rPr>
      <w:rFonts w:ascii="Times New Roman" w:cs="Times New Roman" w:eastAsia="Times New Roman" w:hAnsi="Times New Roman"/>
      <w:lang w:bidi="ar-SA" w:eastAsia="it-IT"/>
    </w:rPr>
  </w:style>
  <w:style w:type="paragraph" w:styleId="sche3" w:customStyle="1">
    <w:name w:val="sche_3"/>
    <w:qFormat w:val="1"/>
    <w:rsid w:val="00061DE5"/>
    <w:pPr>
      <w:jc w:val="both"/>
      <w:textAlignment w:val="baseline"/>
    </w:pPr>
    <w:rPr>
      <w:szCs w:val="20"/>
      <w:lang w:val="en-US"/>
    </w:rPr>
  </w:style>
  <w:style w:type="paragraph" w:styleId="Text2" w:customStyle="1">
    <w:name w:val="Text 2"/>
    <w:basedOn w:val="Normale"/>
    <w:qFormat w:val="1"/>
    <w:rsid w:val="00061DE5"/>
    <w:pPr>
      <w:widowControl w:val="1"/>
      <w:tabs>
        <w:tab w:val="left" w:pos="2161"/>
      </w:tabs>
      <w:spacing w:after="240"/>
      <w:ind w:left="1077"/>
      <w:jc w:val="both"/>
    </w:pPr>
    <w:rPr>
      <w:rFonts w:cs="Times New Roman" w:eastAsia="Times New Roman"/>
      <w:kern w:val="0"/>
      <w:szCs w:val="20"/>
    </w:rPr>
  </w:style>
  <w:style w:type="paragraph" w:styleId="Rientrocorpodeltesto">
    <w:name w:val="Body Text Indent"/>
    <w:basedOn w:val="Normale"/>
    <w:link w:val="RientrocorpodeltestoCarattere1"/>
    <w:rsid w:val="00061DE5"/>
    <w:pPr>
      <w:widowControl w:val="1"/>
      <w:tabs>
        <w:tab w:val="left" w:pos="0"/>
        <w:tab w:val="left" w:pos="1725"/>
        <w:tab w:val="left" w:pos="8496"/>
      </w:tabs>
      <w:ind w:left="708"/>
      <w:jc w:val="both"/>
    </w:pPr>
    <w:rPr>
      <w:rFonts w:cs="Times New Roman" w:eastAsia="Times New Roman"/>
      <w:b w:val="1"/>
      <w:bCs w:val="1"/>
      <w:i w:val="1"/>
      <w:iCs w:val="1"/>
      <w:kern w:val="0"/>
      <w:sz w:val="20"/>
      <w:szCs w:val="20"/>
    </w:rPr>
  </w:style>
  <w:style w:type="character" w:styleId="RientrocorpodeltestoCarattere1" w:customStyle="1">
    <w:name w:val="Rientro corpo del testo Carattere1"/>
    <w:basedOn w:val="Carpredefinitoparagrafo"/>
    <w:link w:val="Rientrocorpodeltesto"/>
    <w:rsid w:val="00061DE5"/>
    <w:rPr>
      <w:rFonts w:ascii="Times New Roman" w:cs="Times New Roman" w:eastAsia="Times New Roman" w:hAnsi="Times New Roman"/>
      <w:b w:val="1"/>
      <w:bCs w:val="1"/>
      <w:i w:val="1"/>
      <w:iCs w:val="1"/>
      <w:sz w:val="20"/>
      <w:szCs w:val="20"/>
      <w:lang w:bidi="ar-SA" w:eastAsia="it-IT"/>
    </w:rPr>
  </w:style>
  <w:style w:type="paragraph" w:styleId="Corpodeltesto3">
    <w:name w:val="Body Text 3"/>
    <w:basedOn w:val="Normale"/>
    <w:link w:val="Corpodeltesto3Carattere1"/>
    <w:qFormat w:val="1"/>
    <w:rsid w:val="00061DE5"/>
    <w:pPr>
      <w:widowControl w:val="1"/>
      <w:tabs>
        <w:tab w:val="left" w:pos="0"/>
        <w:tab w:val="left" w:pos="8496"/>
      </w:tabs>
      <w:spacing w:after="120" w:before="240"/>
      <w:jc w:val="both"/>
    </w:pPr>
    <w:rPr>
      <w:rFonts w:cs="Times New Roman" w:eastAsia="Times New Roman"/>
      <w:b w:val="1"/>
      <w:bCs w:val="1"/>
      <w:i w:val="1"/>
      <w:iCs w:val="1"/>
      <w:kern w:val="0"/>
      <w:sz w:val="20"/>
    </w:rPr>
  </w:style>
  <w:style w:type="character" w:styleId="Corpodeltesto3Carattere1" w:customStyle="1">
    <w:name w:val="Corpo del testo 3 Carattere1"/>
    <w:basedOn w:val="Carpredefinitoparagrafo"/>
    <w:link w:val="Corpodeltesto3"/>
    <w:rsid w:val="00061DE5"/>
    <w:rPr>
      <w:rFonts w:ascii="Times New Roman" w:cs="Times New Roman" w:eastAsia="Times New Roman" w:hAnsi="Times New Roman"/>
      <w:b w:val="1"/>
      <w:bCs w:val="1"/>
      <w:i w:val="1"/>
      <w:iCs w:val="1"/>
      <w:sz w:val="20"/>
      <w:lang w:bidi="ar-SA" w:eastAsia="it-IT"/>
    </w:rPr>
  </w:style>
  <w:style w:type="paragraph" w:styleId="Rub3" w:customStyle="1">
    <w:name w:val="Rub3"/>
    <w:basedOn w:val="Normale"/>
    <w:next w:val="Normale"/>
    <w:qFormat w:val="1"/>
    <w:rsid w:val="00061DE5"/>
    <w:pPr>
      <w:widowControl w:val="1"/>
      <w:tabs>
        <w:tab w:val="left" w:pos="709"/>
      </w:tabs>
      <w:jc w:val="both"/>
    </w:pPr>
    <w:rPr>
      <w:rFonts w:cs="Times New Roman" w:eastAsia="Times New Roman"/>
      <w:b w:val="1"/>
      <w:i w:val="1"/>
      <w:kern w:val="0"/>
      <w:sz w:val="20"/>
      <w:szCs w:val="20"/>
    </w:rPr>
  </w:style>
  <w:style w:type="paragraph" w:styleId="Titoloparagrafobandotipo" w:customStyle="1">
    <w:name w:val="Titolo paragrafo bando tipo"/>
    <w:basedOn w:val="Sottotitolo"/>
    <w:autoRedefine w:val="1"/>
    <w:qFormat w:val="1"/>
    <w:rsid w:val="00061DE5"/>
    <w:pPr>
      <w:keepNext w:val="1"/>
      <w:spacing w:after="120" w:before="300" w:line="240" w:lineRule="auto"/>
      <w:ind w:left="-142"/>
      <w:jc w:val="left"/>
      <w:outlineLvl w:val="0"/>
    </w:pPr>
    <w:rPr>
      <w:rFonts w:ascii="Calibri" w:hAnsi="Calibri"/>
      <w:b w:val="1"/>
      <w:i w:val="1"/>
      <w:szCs w:val="22"/>
    </w:rPr>
  </w:style>
  <w:style w:type="paragraph" w:styleId="avviso" w:customStyle="1">
    <w:name w:val="avviso"/>
    <w:basedOn w:val="Paragrafoelenco"/>
    <w:qFormat w:val="1"/>
    <w:rsid w:val="00061DE5"/>
    <w:pPr>
      <w:keepNext w:val="1"/>
      <w:spacing w:after="120" w:before="120" w:line="240" w:lineRule="auto"/>
      <w:ind w:left="0"/>
    </w:pPr>
    <w:rPr>
      <w:rFonts w:eastAsia="Times New Roman"/>
      <w:b w:val="1"/>
      <w:i w:val="1"/>
      <w:szCs w:val="24"/>
      <w:lang w:eastAsia="en-US"/>
    </w:rPr>
  </w:style>
  <w:style w:type="paragraph" w:styleId="CM11" w:customStyle="1">
    <w:name w:val="CM1+1"/>
    <w:basedOn w:val="Default"/>
    <w:next w:val="Default"/>
    <w:qFormat w:val="1"/>
    <w:rsid w:val="00061DE5"/>
    <w:pPr>
      <w:widowControl w:val="1"/>
      <w:spacing w:line="240" w:lineRule="auto"/>
      <w:jc w:val="left"/>
    </w:pPr>
    <w:rPr>
      <w:rFonts w:ascii="EUAlbertina" w:cs="Times New Roman" w:hAnsi="EUAlbertina"/>
      <w:color w:val="auto"/>
    </w:rPr>
  </w:style>
  <w:style w:type="paragraph" w:styleId="CM31" w:customStyle="1">
    <w:name w:val="CM3+1"/>
    <w:basedOn w:val="Default"/>
    <w:next w:val="Default"/>
    <w:qFormat w:val="1"/>
    <w:rsid w:val="00061DE5"/>
    <w:pPr>
      <w:widowControl w:val="1"/>
      <w:spacing w:line="240" w:lineRule="auto"/>
      <w:jc w:val="left"/>
    </w:pPr>
    <w:rPr>
      <w:rFonts w:ascii="EUAlbertina" w:cs="Times New Roman" w:hAnsi="EUAlbertina"/>
      <w:color w:val="auto"/>
    </w:rPr>
  </w:style>
  <w:style w:type="paragraph" w:styleId="Nessunaspaziatura">
    <w:name w:val="No Spacing"/>
    <w:qFormat w:val="1"/>
    <w:rsid w:val="00061DE5"/>
    <w:pPr>
      <w:jc w:val="both"/>
    </w:pPr>
    <w:rPr>
      <w:rFonts w:ascii="Calibri" w:hAnsi="Calibri"/>
      <w:sz w:val="22"/>
      <w:szCs w:val="22"/>
      <w:lang w:eastAsia="en-US"/>
    </w:rPr>
  </w:style>
  <w:style w:type="paragraph" w:styleId="Sommariodisciplinare" w:customStyle="1">
    <w:name w:val="Sommario disciplinare"/>
    <w:basedOn w:val="Sommario1"/>
    <w:next w:val="Titolo2"/>
    <w:autoRedefine w:val="1"/>
    <w:qFormat w:val="1"/>
    <w:rsid w:val="00061DE5"/>
    <w:rPr>
      <w:rFonts w:cs="Calibri"/>
      <w:szCs w:val="24"/>
      <w:lang w:eastAsia="it-IT"/>
    </w:rPr>
  </w:style>
  <w:style w:type="paragraph" w:styleId="Sommario4">
    <w:name w:val="toc 4"/>
    <w:basedOn w:val="Normale"/>
    <w:next w:val="Normale"/>
    <w:autoRedefine w:val="1"/>
    <w:rsid w:val="00061DE5"/>
    <w:pPr>
      <w:widowControl w:val="1"/>
      <w:spacing w:line="276" w:lineRule="auto"/>
      <w:ind w:left="660"/>
    </w:pPr>
    <w:rPr>
      <w:rFonts w:ascii="Calibri" w:cs="Times New Roman" w:eastAsia="Times New Roman" w:hAnsi="Calibri"/>
      <w:kern w:val="0"/>
      <w:sz w:val="18"/>
      <w:szCs w:val="18"/>
      <w:lang w:eastAsia="en-US"/>
    </w:rPr>
  </w:style>
  <w:style w:type="paragraph" w:styleId="Sommario5">
    <w:name w:val="toc 5"/>
    <w:basedOn w:val="Normale"/>
    <w:next w:val="Normale"/>
    <w:autoRedefine w:val="1"/>
    <w:rsid w:val="00061DE5"/>
    <w:pPr>
      <w:widowControl w:val="1"/>
      <w:spacing w:line="276" w:lineRule="auto"/>
      <w:ind w:left="880"/>
    </w:pPr>
    <w:rPr>
      <w:rFonts w:ascii="Calibri" w:cs="Times New Roman" w:eastAsia="Times New Roman" w:hAnsi="Calibri"/>
      <w:kern w:val="0"/>
      <w:sz w:val="18"/>
      <w:szCs w:val="18"/>
      <w:lang w:eastAsia="en-US"/>
    </w:rPr>
  </w:style>
  <w:style w:type="paragraph" w:styleId="Sommario6">
    <w:name w:val="toc 6"/>
    <w:basedOn w:val="Normale"/>
    <w:next w:val="Normale"/>
    <w:autoRedefine w:val="1"/>
    <w:rsid w:val="00061DE5"/>
    <w:pPr>
      <w:widowControl w:val="1"/>
      <w:spacing w:line="276" w:lineRule="auto"/>
      <w:ind w:left="1100"/>
    </w:pPr>
    <w:rPr>
      <w:rFonts w:ascii="Calibri" w:cs="Times New Roman" w:eastAsia="Times New Roman" w:hAnsi="Calibri"/>
      <w:kern w:val="0"/>
      <w:sz w:val="18"/>
      <w:szCs w:val="18"/>
      <w:lang w:eastAsia="en-US"/>
    </w:rPr>
  </w:style>
  <w:style w:type="paragraph" w:styleId="Sommario7">
    <w:name w:val="toc 7"/>
    <w:basedOn w:val="Normale"/>
    <w:next w:val="Normale"/>
    <w:autoRedefine w:val="1"/>
    <w:rsid w:val="00061DE5"/>
    <w:pPr>
      <w:widowControl w:val="1"/>
      <w:spacing w:line="276" w:lineRule="auto"/>
      <w:ind w:left="1320"/>
    </w:pPr>
    <w:rPr>
      <w:rFonts w:ascii="Calibri" w:cs="Times New Roman" w:eastAsia="Times New Roman" w:hAnsi="Calibri"/>
      <w:kern w:val="0"/>
      <w:sz w:val="18"/>
      <w:szCs w:val="18"/>
      <w:lang w:eastAsia="en-US"/>
    </w:rPr>
  </w:style>
  <w:style w:type="paragraph" w:styleId="Sommario8">
    <w:name w:val="toc 8"/>
    <w:basedOn w:val="Normale"/>
    <w:next w:val="Normale"/>
    <w:autoRedefine w:val="1"/>
    <w:rsid w:val="00061DE5"/>
    <w:pPr>
      <w:widowControl w:val="1"/>
      <w:spacing w:line="276" w:lineRule="auto"/>
      <w:ind w:left="1540"/>
    </w:pPr>
    <w:rPr>
      <w:rFonts w:ascii="Calibri" w:cs="Times New Roman" w:eastAsia="Times New Roman" w:hAnsi="Calibri"/>
      <w:kern w:val="0"/>
      <w:sz w:val="18"/>
      <w:szCs w:val="18"/>
      <w:lang w:eastAsia="en-US"/>
    </w:rPr>
  </w:style>
  <w:style w:type="paragraph" w:styleId="Sommario9">
    <w:name w:val="toc 9"/>
    <w:basedOn w:val="Normale"/>
    <w:next w:val="Normale"/>
    <w:autoRedefine w:val="1"/>
    <w:rsid w:val="00061DE5"/>
    <w:pPr>
      <w:widowControl w:val="1"/>
      <w:spacing w:line="276" w:lineRule="auto"/>
      <w:ind w:left="1760"/>
    </w:pPr>
    <w:rPr>
      <w:rFonts w:ascii="Calibri" w:cs="Times New Roman" w:eastAsia="Times New Roman" w:hAnsi="Calibri"/>
      <w:kern w:val="0"/>
      <w:sz w:val="18"/>
      <w:szCs w:val="18"/>
      <w:lang w:eastAsia="en-US"/>
    </w:rPr>
  </w:style>
  <w:style w:type="paragraph" w:styleId="Testonormale">
    <w:name w:val="Plain Text"/>
    <w:basedOn w:val="Normale"/>
    <w:link w:val="TestonormaleCarattere1"/>
    <w:qFormat w:val="1"/>
    <w:rsid w:val="00061DE5"/>
    <w:pPr>
      <w:widowControl w:val="1"/>
      <w:spacing w:line="276" w:lineRule="auto"/>
    </w:pPr>
    <w:rPr>
      <w:rFonts w:ascii="Garamond" w:cs="Consolas" w:eastAsia="Times New Roman" w:hAnsi="Garamond"/>
      <w:kern w:val="0"/>
      <w:szCs w:val="21"/>
      <w:lang w:eastAsia="en-US"/>
    </w:rPr>
  </w:style>
  <w:style w:type="character" w:styleId="TestonormaleCarattere1" w:customStyle="1">
    <w:name w:val="Testo normale Carattere1"/>
    <w:basedOn w:val="Carpredefinitoparagrafo"/>
    <w:link w:val="Testonormale"/>
    <w:rsid w:val="00061DE5"/>
    <w:rPr>
      <w:rFonts w:ascii="Garamond" w:cs="Consolas" w:eastAsia="Times New Roman" w:hAnsi="Garamond"/>
      <w:szCs w:val="21"/>
      <w:lang w:bidi="ar-SA" w:eastAsia="en-US"/>
    </w:rPr>
  </w:style>
  <w:style w:type="paragraph" w:styleId="usoboll1" w:customStyle="1">
    <w:name w:val="usoboll1"/>
    <w:basedOn w:val="Normale"/>
    <w:qFormat w:val="1"/>
    <w:rsid w:val="00061DE5"/>
    <w:pPr>
      <w:spacing w:line="482" w:lineRule="atLeast"/>
      <w:jc w:val="both"/>
    </w:pPr>
    <w:rPr>
      <w:rFonts w:cs="Times New Roman" w:eastAsia="Times New Roman"/>
      <w:kern w:val="0"/>
      <w:szCs w:val="20"/>
      <w:lang w:eastAsia="ar-SA"/>
    </w:rPr>
  </w:style>
  <w:style w:type="paragraph" w:styleId="ANCATABELLATITOLOBIANCO" w:customStyle="1">
    <w:name w:val="ANCA_TABELLA_TITOLO BIANCO"/>
    <w:basedOn w:val="Normale"/>
    <w:qFormat w:val="1"/>
    <w:rsid w:val="00061DE5"/>
    <w:pPr>
      <w:widowControl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276" w:lineRule="auto"/>
      <w:ind w:left="1560" w:right="142"/>
      <w:jc w:val="both"/>
    </w:pPr>
    <w:rPr>
      <w:rFonts w:ascii="Gotham Book" w:cs="Gotham Book" w:eastAsia="Times New Roman" w:hAnsi="Gotham Book"/>
      <w:color w:val="ffffff"/>
      <w:kern w:val="0"/>
      <w:sz w:val="20"/>
      <w:szCs w:val="20"/>
      <w:lang w:eastAsia="en-US"/>
    </w:rPr>
  </w:style>
  <w:style w:type="paragraph" w:styleId="ANACTABELLATESTOBIANCO" w:customStyle="1">
    <w:name w:val="ANAC_TABELLA_TESTO_BIANCO"/>
    <w:basedOn w:val="Normale"/>
    <w:qFormat w:val="1"/>
    <w:rsid w:val="00061DE5"/>
    <w:pPr>
      <w:widowControl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276" w:lineRule="auto"/>
      <w:ind w:left="1560" w:right="142"/>
      <w:jc w:val="both"/>
    </w:pPr>
    <w:rPr>
      <w:rFonts w:ascii="Gotham Book" w:cs="Gotham Book" w:eastAsia="Times New Roman" w:hAnsi="Gotham Book"/>
      <w:color w:val="ffffff"/>
      <w:kern w:val="0"/>
      <w:sz w:val="20"/>
      <w:szCs w:val="20"/>
      <w:lang w:eastAsia="en-US"/>
    </w:rPr>
  </w:style>
  <w:style w:type="paragraph" w:styleId="ANACDATA" w:customStyle="1">
    <w:name w:val="ANAC_DATA"/>
    <w:qFormat w:val="1"/>
    <w:rsid w:val="00061DE5"/>
    <w:pPr>
      <w:keepNext w:val="1"/>
      <w:keepLines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iCs w:val="1"/>
      <w:szCs w:val="20"/>
      <w:lang w:eastAsia="ar-SA"/>
    </w:rPr>
  </w:style>
  <w:style w:type="paragraph" w:styleId="ANAC-TitoloSottoparagrafo" w:customStyle="1">
    <w:name w:val="ANAC - Titolo Sottoparagrafo"/>
    <w:qFormat w:val="1"/>
    <w:rsid w:val="00061DE5"/>
    <w:pPr>
      <w:keepNext w:val="1"/>
      <w:keepLines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284"/>
    </w:pPr>
    <w:rPr>
      <w:rFonts w:ascii="Calibri Light" w:eastAsia="0" w:hAnsi="Calibri Light"/>
      <w:color w:val="2f5496"/>
      <w:szCs w:val="22"/>
      <w:lang w:eastAsia="ar-SA"/>
    </w:rPr>
  </w:style>
  <w:style w:type="paragraph" w:styleId="ANAC-TitoloParagrafo" w:customStyle="1">
    <w:name w:val="ANAC - Titolo Paragrafo"/>
    <w:qFormat w:val="1"/>
    <w:rsid w:val="00061DE5"/>
    <w:pPr>
      <w:keepNext w:val="1"/>
      <w:keepLines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color w:val="2770b7"/>
      <w:sz w:val="28"/>
      <w:szCs w:val="20"/>
      <w:lang w:eastAsia="ar-SA"/>
    </w:rPr>
  </w:style>
  <w:style w:type="paragraph" w:styleId="ANAC-TitoloCapitolo" w:customStyle="1">
    <w:name w:val="ANAC - Titolo Capitolo"/>
    <w:qFormat w:val="1"/>
    <w:rsid w:val="00061DE5"/>
    <w:pPr>
      <w:keepNext w:val="1"/>
      <w:keepLines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iCs w:val="1"/>
      <w:sz w:val="36"/>
      <w:szCs w:val="40"/>
      <w:lang w:eastAsia="ar-SA"/>
    </w:rPr>
  </w:style>
  <w:style w:type="paragraph" w:styleId="ANAC-Capitolo" w:customStyle="1">
    <w:name w:val="ANAC - Capitolo"/>
    <w:basedOn w:val="Titolo1"/>
    <w:qFormat w:val="1"/>
    <w:rsid w:val="00061DE5"/>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240" w:line="240" w:lineRule="exact"/>
      <w:ind w:left="1560" w:right="142"/>
    </w:pPr>
    <w:rPr>
      <w:rFonts w:ascii="Calibri Light" w:eastAsia="0" w:hAnsi="Calibri Light"/>
      <w:color w:val="2f5496"/>
      <w:sz w:val="32"/>
      <w:szCs w:val="32"/>
      <w:lang w:eastAsia="ar-SA"/>
    </w:rPr>
  </w:style>
  <w:style w:type="paragraph" w:styleId="TitoloParagrafo" w:customStyle="1">
    <w:name w:val="Titolo Paragrafo"/>
    <w:basedOn w:val="Titolo5"/>
    <w:qFormat w:val="1"/>
    <w:rsid w:val="00061DE5"/>
    <w:pPr>
      <w:keepNext w:val="1"/>
      <w:keepLines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after="0" w:before="40" w:line="240" w:lineRule="exact"/>
      <w:ind w:left="1560" w:right="142"/>
    </w:pPr>
    <w:rPr>
      <w:rFonts w:ascii="Calibri Light" w:eastAsia="0" w:hAnsi="Calibri Light"/>
      <w:color w:val="2f5496"/>
      <w:sz w:val="28"/>
      <w:lang w:eastAsia="ar-SA"/>
    </w:rPr>
  </w:style>
  <w:style w:type="paragraph" w:styleId="TitoloCapitolo" w:customStyle="1">
    <w:name w:val="Titolo Capitolo"/>
    <w:basedOn w:val="Titolo4"/>
    <w:qFormat w:val="1"/>
    <w:rsid w:val="00061DE5"/>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i w:val="1"/>
      <w:sz w:val="36"/>
      <w:szCs w:val="40"/>
      <w:lang w:eastAsia="ar-SA"/>
    </w:rPr>
  </w:style>
  <w:style w:type="paragraph" w:styleId="NumeroCapitolo" w:customStyle="1">
    <w:name w:val="Numero Capitolo"/>
    <w:basedOn w:val="Titolo3"/>
    <w:qFormat w:val="1"/>
    <w:rsid w:val="00061DE5"/>
    <w:pPr>
      <w:keepLines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after="0" w:before="40" w:line="240" w:lineRule="exact"/>
      <w:ind w:left="1560" w:right="142"/>
    </w:pPr>
    <w:rPr>
      <w:rFonts w:ascii="Gotham Light" w:eastAsia="0" w:hAnsi="Gotham Light"/>
      <w:color w:val="2770b7"/>
      <w:sz w:val="48"/>
      <w:szCs w:val="36"/>
      <w:lang w:eastAsia="ar-SA"/>
    </w:rPr>
  </w:style>
  <w:style w:type="paragraph" w:styleId="TitoloParte" w:customStyle="1">
    <w:name w:val="Titolo Parte"/>
    <w:basedOn w:val="Titolo2"/>
    <w:qFormat w:val="1"/>
    <w:rsid w:val="00061DE5"/>
    <w:pPr>
      <w:keepLines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after="0" w:before="40" w:line="240" w:lineRule="exact"/>
      <w:ind w:left="1560" w:right="142" w:hanging="357"/>
      <w:jc w:val="right"/>
    </w:pPr>
    <w:rPr>
      <w:rFonts w:ascii="Gotham Book" w:eastAsia="Times New Roman (Corpo CS)" w:hAnsi="Gotham Book"/>
      <w:color w:val="ffffff"/>
      <w:sz w:val="40"/>
      <w:szCs w:val="40"/>
      <w:lang w:eastAsia="ar-SA"/>
    </w:rPr>
  </w:style>
  <w:style w:type="paragraph" w:styleId="ParteNumero" w:customStyle="1">
    <w:name w:val="Parte Numero"/>
    <w:basedOn w:val="Titolo1"/>
    <w:qFormat w:val="1"/>
    <w:rsid w:val="00061DE5"/>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240" w:line="240" w:lineRule="exact"/>
      <w:ind w:left="1560" w:right="142"/>
      <w:jc w:val="right"/>
    </w:pPr>
    <w:rPr>
      <w:rFonts w:ascii="Gotham Medium" w:eastAsia="Times New Roman (Corpo CS)" w:hAnsi="Gotham Medium"/>
      <w:caps w:val="1"/>
      <w:color w:val="ffffff"/>
      <w:lang w:eastAsia="ar-SA"/>
    </w:rPr>
  </w:style>
  <w:style w:type="paragraph" w:styleId="Paragrafobase" w:customStyle="1">
    <w:name w:val="[Paragrafo base]"/>
    <w:basedOn w:val="Normale"/>
    <w:qFormat w:val="1"/>
    <w:rsid w:val="00061DE5"/>
    <w:pPr>
      <w:widowControl w:val="1"/>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288" w:lineRule="exact"/>
      <w:ind w:left="1560" w:right="142"/>
      <w:jc w:val="both"/>
      <w:textAlignment w:val="center"/>
    </w:pPr>
    <w:rPr>
      <w:rFonts w:ascii="Minion Pro" w:cs="Times New Roman" w:eastAsia="Minion Pro" w:hAnsi="Minion Pro"/>
      <w:color w:val="000000"/>
      <w:kern w:val="0"/>
      <w:szCs w:val="22"/>
      <w:lang w:eastAsia="ar-SA"/>
    </w:rPr>
  </w:style>
  <w:style w:type="paragraph" w:styleId="Contenutocornice" w:customStyle="1">
    <w:name w:val="Contenuto cornice"/>
    <w:basedOn w:val="Normale"/>
    <w:qFormat w:val="1"/>
    <w:rsid w:val="00061DE5"/>
    <w:pPr>
      <w:widowControl w:val="1"/>
      <w:spacing w:line="276" w:lineRule="auto"/>
      <w:jc w:val="both"/>
    </w:pPr>
    <w:rPr>
      <w:rFonts w:ascii="Garamond" w:cs="Times New Roman" w:eastAsia="Times New Roman" w:hAnsi="Garamond"/>
      <w:kern w:val="0"/>
      <w:szCs w:val="22"/>
      <w:lang w:eastAsia="en-US"/>
    </w:rPr>
  </w:style>
  <w:style w:type="paragraph" w:styleId="Contenutotabella" w:customStyle="1">
    <w:name w:val="Contenuto tabella"/>
    <w:basedOn w:val="Normale"/>
    <w:qFormat w:val="1"/>
    <w:rsid w:val="00061DE5"/>
    <w:pPr>
      <w:widowControl w:val="1"/>
      <w:suppressLineNumbers w:val="1"/>
      <w:spacing w:line="276" w:lineRule="auto"/>
      <w:jc w:val="both"/>
    </w:pPr>
    <w:rPr>
      <w:rFonts w:ascii="Garamond" w:cs="Times New Roman" w:eastAsia="Times New Roman" w:hAnsi="Garamond"/>
      <w:kern w:val="0"/>
      <w:szCs w:val="22"/>
      <w:lang w:eastAsia="en-US"/>
    </w:rPr>
  </w:style>
  <w:style w:type="paragraph" w:styleId="Standard" w:customStyle="1">
    <w:name w:val="Standard"/>
    <w:qFormat w:val="1"/>
    <w:rsid w:val="00061DE5"/>
    <w:pPr>
      <w:spacing w:after="160" w:line="259" w:lineRule="auto"/>
      <w:textAlignment w:val="baseline"/>
    </w:pPr>
    <w:rPr>
      <w:rFonts w:ascii="Calibri" w:eastAsia="Calibri" w:hAnsi="Calibri"/>
      <w:szCs w:val="20"/>
      <w:lang w:eastAsia="en-US"/>
    </w:rPr>
  </w:style>
  <w:style w:type="paragraph" w:styleId="Testopreformattato" w:customStyle="1">
    <w:name w:val="Testo preformattato"/>
    <w:basedOn w:val="Normale"/>
    <w:qFormat w:val="1"/>
    <w:rsid w:val="00061DE5"/>
    <w:pPr>
      <w:widowControl w:val="1"/>
      <w:spacing w:line="276" w:lineRule="auto"/>
      <w:jc w:val="both"/>
    </w:pPr>
    <w:rPr>
      <w:rFonts w:ascii="Liberation Mono" w:cs="Liberation Mono" w:eastAsia="Liberation Mono" w:hAnsi="Liberation Mono"/>
      <w:kern w:val="0"/>
      <w:sz w:val="20"/>
      <w:szCs w:val="20"/>
      <w:lang w:eastAsia="en-US"/>
    </w:rPr>
  </w:style>
  <w:style w:type="paragraph" w:styleId="Testocitato" w:customStyle="1">
    <w:name w:val="Testo citato"/>
    <w:basedOn w:val="Normale"/>
    <w:qFormat w:val="1"/>
    <w:rsid w:val="00061DE5"/>
    <w:pPr>
      <w:widowControl w:val="1"/>
      <w:spacing w:after="283" w:line="276" w:lineRule="auto"/>
      <w:ind w:left="567" w:right="567"/>
      <w:jc w:val="both"/>
    </w:pPr>
    <w:rPr>
      <w:rFonts w:ascii="Garamond" w:cs="Times New Roman" w:eastAsia="Times New Roman" w:hAnsi="Garamond"/>
      <w:kern w:val="0"/>
      <w:szCs w:val="22"/>
      <w:lang w:eastAsia="en-US"/>
    </w:rPr>
  </w:style>
  <w:style w:type="paragraph" w:styleId="DefinitionTerm" w:customStyle="1">
    <w:name w:val="Definition Term"/>
    <w:basedOn w:val="Normale"/>
    <w:qFormat w:val="1"/>
    <w:rsid w:val="00061DE5"/>
    <w:pPr>
      <w:widowControl w:val="1"/>
      <w:spacing w:line="276" w:lineRule="auto"/>
      <w:jc w:val="both"/>
    </w:pPr>
    <w:rPr>
      <w:rFonts w:ascii="Garamond" w:cs="Times New Roman" w:eastAsia="Times New Roman" w:hAnsi="Garamond"/>
      <w:kern w:val="0"/>
      <w:szCs w:val="22"/>
      <w:lang w:eastAsia="en-US"/>
    </w:rPr>
  </w:style>
  <w:style w:type="paragraph" w:styleId="DefinitionList" w:customStyle="1">
    <w:name w:val="Definition List"/>
    <w:basedOn w:val="Normale"/>
    <w:qFormat w:val="1"/>
    <w:rsid w:val="00061DE5"/>
    <w:pPr>
      <w:widowControl w:val="1"/>
      <w:spacing w:line="276" w:lineRule="auto"/>
      <w:ind w:left="360"/>
      <w:jc w:val="both"/>
    </w:pPr>
    <w:rPr>
      <w:rFonts w:ascii="Garamond" w:cs="Times New Roman" w:eastAsia="Times New Roman" w:hAnsi="Garamond"/>
      <w:kern w:val="0"/>
      <w:szCs w:val="22"/>
      <w:lang w:eastAsia="en-US"/>
    </w:rPr>
  </w:style>
  <w:style w:type="paragraph" w:styleId="H1" w:customStyle="1">
    <w:name w:val="H1"/>
    <w:basedOn w:val="Normale"/>
    <w:qFormat w:val="1"/>
    <w:rsid w:val="00061DE5"/>
    <w:pPr>
      <w:keepNext w:val="1"/>
      <w:widowControl w:val="1"/>
      <w:spacing w:after="100" w:before="100" w:line="276" w:lineRule="auto"/>
      <w:jc w:val="both"/>
      <w:outlineLvl w:val="1"/>
    </w:pPr>
    <w:rPr>
      <w:rFonts w:ascii="Garamond" w:cs="Times New Roman" w:eastAsia="Times New Roman" w:hAnsi="Garamond"/>
      <w:b w:val="1"/>
      <w:sz w:val="48"/>
      <w:szCs w:val="22"/>
      <w:lang w:eastAsia="en-US"/>
    </w:rPr>
  </w:style>
  <w:style w:type="paragraph" w:styleId="H2" w:customStyle="1">
    <w:name w:val="H2"/>
    <w:basedOn w:val="Normale"/>
    <w:qFormat w:val="1"/>
    <w:rsid w:val="00061DE5"/>
    <w:pPr>
      <w:keepNext w:val="1"/>
      <w:widowControl w:val="1"/>
      <w:spacing w:after="100" w:before="100" w:line="276" w:lineRule="auto"/>
      <w:jc w:val="both"/>
      <w:outlineLvl w:val="2"/>
    </w:pPr>
    <w:rPr>
      <w:rFonts w:ascii="Garamond" w:cs="Times New Roman" w:eastAsia="Times New Roman" w:hAnsi="Garamond"/>
      <w:b w:val="1"/>
      <w:kern w:val="0"/>
      <w:sz w:val="36"/>
      <w:szCs w:val="22"/>
      <w:lang w:eastAsia="en-US"/>
    </w:rPr>
  </w:style>
  <w:style w:type="paragraph" w:styleId="H3" w:customStyle="1">
    <w:name w:val="H3"/>
    <w:basedOn w:val="Normale"/>
    <w:qFormat w:val="1"/>
    <w:rsid w:val="00061DE5"/>
    <w:pPr>
      <w:keepNext w:val="1"/>
      <w:widowControl w:val="1"/>
      <w:spacing w:after="100" w:before="100" w:line="276" w:lineRule="auto"/>
      <w:jc w:val="both"/>
      <w:outlineLvl w:val="3"/>
    </w:pPr>
    <w:rPr>
      <w:rFonts w:ascii="Garamond" w:cs="Times New Roman" w:eastAsia="Times New Roman" w:hAnsi="Garamond"/>
      <w:b w:val="1"/>
      <w:kern w:val="0"/>
      <w:sz w:val="28"/>
      <w:szCs w:val="22"/>
      <w:lang w:eastAsia="en-US"/>
    </w:rPr>
  </w:style>
  <w:style w:type="paragraph" w:styleId="H4" w:customStyle="1">
    <w:name w:val="H4"/>
    <w:basedOn w:val="Normale"/>
    <w:qFormat w:val="1"/>
    <w:rsid w:val="00061DE5"/>
    <w:pPr>
      <w:keepNext w:val="1"/>
      <w:widowControl w:val="1"/>
      <w:spacing w:after="100" w:before="100" w:line="276" w:lineRule="auto"/>
      <w:jc w:val="both"/>
      <w:outlineLvl w:val="4"/>
    </w:pPr>
    <w:rPr>
      <w:rFonts w:ascii="Garamond" w:cs="Times New Roman" w:eastAsia="Times New Roman" w:hAnsi="Garamond"/>
      <w:b w:val="1"/>
      <w:kern w:val="0"/>
      <w:szCs w:val="22"/>
      <w:lang w:eastAsia="en-US"/>
    </w:rPr>
  </w:style>
  <w:style w:type="paragraph" w:styleId="H5" w:customStyle="1">
    <w:name w:val="H5"/>
    <w:basedOn w:val="Normale"/>
    <w:qFormat w:val="1"/>
    <w:rsid w:val="00061DE5"/>
    <w:pPr>
      <w:keepNext w:val="1"/>
      <w:widowControl w:val="1"/>
      <w:spacing w:after="100" w:before="100" w:line="276" w:lineRule="auto"/>
      <w:jc w:val="both"/>
      <w:outlineLvl w:val="5"/>
    </w:pPr>
    <w:rPr>
      <w:rFonts w:ascii="Garamond" w:cs="Times New Roman" w:eastAsia="Times New Roman" w:hAnsi="Garamond"/>
      <w:b w:val="1"/>
      <w:kern w:val="0"/>
      <w:sz w:val="20"/>
      <w:szCs w:val="22"/>
      <w:lang w:eastAsia="en-US"/>
    </w:rPr>
  </w:style>
  <w:style w:type="paragraph" w:styleId="H6" w:customStyle="1">
    <w:name w:val="H6"/>
    <w:basedOn w:val="Normale"/>
    <w:qFormat w:val="1"/>
    <w:rsid w:val="00061DE5"/>
    <w:pPr>
      <w:keepNext w:val="1"/>
      <w:widowControl w:val="1"/>
      <w:spacing w:after="100" w:before="100" w:line="276" w:lineRule="auto"/>
      <w:jc w:val="both"/>
      <w:outlineLvl w:val="6"/>
    </w:pPr>
    <w:rPr>
      <w:rFonts w:ascii="Garamond" w:cs="Times New Roman" w:eastAsia="Times New Roman" w:hAnsi="Garamond"/>
      <w:b w:val="1"/>
      <w:kern w:val="0"/>
      <w:sz w:val="16"/>
      <w:szCs w:val="22"/>
      <w:lang w:eastAsia="en-US"/>
    </w:rPr>
  </w:style>
  <w:style w:type="paragraph" w:styleId="Address" w:customStyle="1">
    <w:name w:val="Address"/>
    <w:basedOn w:val="Normale"/>
    <w:qFormat w:val="1"/>
    <w:rsid w:val="00061DE5"/>
    <w:pPr>
      <w:widowControl w:val="1"/>
      <w:spacing w:line="276" w:lineRule="auto"/>
      <w:jc w:val="both"/>
    </w:pPr>
    <w:rPr>
      <w:rFonts w:ascii="Garamond" w:cs="Times New Roman" w:eastAsia="Times New Roman" w:hAnsi="Garamond"/>
      <w:i w:val="1"/>
      <w:kern w:val="0"/>
      <w:szCs w:val="22"/>
      <w:lang w:eastAsia="en-US"/>
    </w:rPr>
  </w:style>
  <w:style w:type="paragraph" w:styleId="Blockquote" w:customStyle="1">
    <w:name w:val="Blockquote"/>
    <w:basedOn w:val="Normale"/>
    <w:qFormat w:val="1"/>
    <w:rsid w:val="00061DE5"/>
    <w:pPr>
      <w:widowControl w:val="1"/>
      <w:spacing w:after="100" w:before="100" w:line="276" w:lineRule="auto"/>
      <w:ind w:left="360" w:right="360"/>
      <w:jc w:val="both"/>
    </w:pPr>
    <w:rPr>
      <w:rFonts w:ascii="Garamond" w:cs="Times New Roman" w:eastAsia="Times New Roman" w:hAnsi="Garamond"/>
      <w:kern w:val="0"/>
      <w:szCs w:val="22"/>
      <w:lang w:eastAsia="en-US"/>
    </w:rPr>
  </w:style>
  <w:style w:type="paragraph" w:styleId="Preformatted" w:customStyle="1">
    <w:name w:val="Preformatted"/>
    <w:basedOn w:val="Normale"/>
    <w:qFormat w:val="1"/>
    <w:rsid w:val="00061DE5"/>
    <w:pPr>
      <w:widowControl w:val="1"/>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pPr>
    <w:rPr>
      <w:rFonts w:ascii="Courier New" w:cs="Times New Roman" w:eastAsia="Times New Roman" w:hAnsi="Courier New"/>
      <w:kern w:val="0"/>
      <w:sz w:val="20"/>
      <w:szCs w:val="22"/>
      <w:lang w:eastAsia="en-US"/>
    </w:rPr>
  </w:style>
  <w:style w:type="paragraph" w:styleId="z-BottomofForm1" w:customStyle="1">
    <w:name w:val="z-Bottom of Form1"/>
    <w:qFormat w:val="1"/>
    <w:rsid w:val="00061DE5"/>
    <w:pPr>
      <w:pBdr>
        <w:top w:color="000000" w:space="0" w:sz="2" w:val="double"/>
      </w:pBdr>
      <w:jc w:val="center"/>
    </w:pPr>
    <w:rPr>
      <w:rFonts w:ascii="Arial" w:cs="Courier New" w:eastAsia="Arial" w:hAnsi="Arial"/>
      <w:vanish w:val="1"/>
      <w:sz w:val="16"/>
    </w:rPr>
  </w:style>
  <w:style w:type="paragraph" w:styleId="z-TopofForm1" w:customStyle="1">
    <w:name w:val="z-Top of Form1"/>
    <w:qFormat w:val="1"/>
    <w:rsid w:val="00061DE5"/>
    <w:pPr>
      <w:pBdr>
        <w:bottom w:color="000000" w:space="0" w:sz="2" w:val="double"/>
      </w:pBdr>
      <w:jc w:val="center"/>
    </w:pPr>
    <w:rPr>
      <w:rFonts w:ascii="Arial" w:cs="Courier New" w:eastAsia="Arial" w:hAnsi="Arial"/>
      <w:vanish w:val="1"/>
      <w:sz w:val="16"/>
    </w:rPr>
  </w:style>
  <w:style w:type="numbering" w:styleId="Nessunelenco11" w:customStyle="1">
    <w:name w:val="Nessun elenco11"/>
    <w:qFormat w:val="1"/>
    <w:rsid w:val="00061DE5"/>
  </w:style>
  <w:style w:type="numbering" w:styleId="Stile2" w:customStyle="1">
    <w:name w:val="Stile2"/>
    <w:qFormat w:val="1"/>
    <w:rsid w:val="00061DE5"/>
  </w:style>
  <w:style w:type="numbering" w:styleId="WW8Num27" w:customStyle="1">
    <w:name w:val="WW8Num27"/>
    <w:qFormat w:val="1"/>
    <w:rsid w:val="00061DE5"/>
  </w:style>
  <w:style w:type="table" w:styleId="Grigliatabella">
    <w:name w:val="Table Grid"/>
    <w:basedOn w:val="Tabellanormale"/>
    <w:uiPriority w:val="39"/>
    <w:rsid w:val="00061DE5"/>
    <w:rPr>
      <w:rFonts w:ascii="Calibri"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gliatabellachiara1" w:customStyle="1">
    <w:name w:val="Griglia tabella chiara1"/>
    <w:basedOn w:val="Tabellanormale"/>
    <w:next w:val="Grigliatabellachiara"/>
    <w:uiPriority w:val="40"/>
    <w:rsid w:val="00061DE5"/>
    <w:rPr>
      <w:rFonts w:ascii="Calibri" w:eastAsia="Calibri" w:hAnsi="Calibri"/>
      <w:sz w:val="20"/>
      <w:szCs w:val="20"/>
    </w:rPr>
    <w:tblP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character" w:styleId="Rimandonotaapidipagina">
    <w:name w:val="footnote reference"/>
    <w:basedOn w:val="Carpredefinitoparagrafo"/>
    <w:uiPriority w:val="99"/>
    <w:semiHidden w:val="1"/>
    <w:unhideWhenUsed w:val="1"/>
    <w:rsid w:val="00061DE5"/>
    <w:rPr>
      <w:vertAlign w:val="superscript"/>
    </w:rPr>
  </w:style>
  <w:style w:type="character" w:styleId="Collegamentovisitato1" w:customStyle="1">
    <w:name w:val="Collegamento visitato1"/>
    <w:basedOn w:val="Carpredefinitoparagrafo"/>
    <w:uiPriority w:val="99"/>
    <w:semiHidden w:val="1"/>
    <w:unhideWhenUsed w:val="1"/>
    <w:rsid w:val="00061DE5"/>
    <w:rPr>
      <w:color w:val="954f72"/>
      <w:u w:val="single"/>
    </w:rPr>
  </w:style>
  <w:style w:type="character" w:styleId="Menzionenonrisolta2" w:customStyle="1">
    <w:name w:val="Menzione non risolta2"/>
    <w:basedOn w:val="Carpredefinitoparagrafo"/>
    <w:uiPriority w:val="99"/>
    <w:semiHidden w:val="1"/>
    <w:unhideWhenUsed w:val="1"/>
    <w:rsid w:val="00061DE5"/>
    <w:rPr>
      <w:color w:val="605e5c"/>
      <w:shd w:color="auto" w:fill="e1dfdd" w:val="clear"/>
    </w:rPr>
  </w:style>
  <w:style w:type="character" w:styleId="Menzionenonrisolta3" w:customStyle="1">
    <w:name w:val="Menzione non risolta3"/>
    <w:basedOn w:val="Carpredefinitoparagrafo"/>
    <w:uiPriority w:val="99"/>
    <w:semiHidden w:val="1"/>
    <w:unhideWhenUsed w:val="1"/>
    <w:rsid w:val="00061DE5"/>
    <w:rPr>
      <w:color w:val="605e5c"/>
      <w:shd w:color="auto" w:fill="e1dfdd" w:val="clear"/>
    </w:rPr>
  </w:style>
  <w:style w:type="table" w:styleId="Grigliatabellachiara">
    <w:name w:val="Grid Table Light"/>
    <w:basedOn w:val="Tabellanormale"/>
    <w:uiPriority w:val="40"/>
    <w:rsid w:val="00061DE5"/>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Collegamentovisitato">
    <w:name w:val="FollowedHyperlink"/>
    <w:basedOn w:val="Carpredefinitoparagrafo"/>
    <w:uiPriority w:val="99"/>
    <w:semiHidden w:val="1"/>
    <w:unhideWhenUsed w:val="1"/>
    <w:rsid w:val="00061DE5"/>
    <w:rPr>
      <w:color w:val="551a8b" w:themeColor="followedHyperlink"/>
      <w:u w:val="single"/>
    </w:rPr>
  </w:style>
  <w:style w:type="character" w:styleId="Menzionenonrisolta">
    <w:name w:val="Unresolved Mention"/>
    <w:basedOn w:val="Carpredefinitoparagrafo"/>
    <w:uiPriority w:val="99"/>
    <w:semiHidden w:val="1"/>
    <w:unhideWhenUsed w:val="1"/>
    <w:rsid w:val="00254A67"/>
    <w:rPr>
      <w:color w:val="605e5c"/>
      <w:shd w:color="auto" w:fill="e1dfdd" w:val="clear"/>
    </w:rPr>
  </w:style>
  <w:style w:type="paragraph" w:styleId="ParLetteraCarattere" w:customStyle="1">
    <w:name w:val="Par.Lettera Carattere"/>
    <w:link w:val="ParLetteraCarattereCarattere"/>
    <w:rsid w:val="00355EF7"/>
    <w:pPr>
      <w:tabs>
        <w:tab w:val="left" w:pos="425"/>
        <w:tab w:val="left" w:pos="851"/>
        <w:tab w:val="left" w:pos="1276"/>
      </w:tabs>
      <w:spacing w:after="60" w:before="60" w:line="280" w:lineRule="exact"/>
      <w:jc w:val="both"/>
    </w:pPr>
    <w:rPr>
      <w:rFonts w:ascii="Arial" w:hAnsi="Arial"/>
      <w:sz w:val="20"/>
      <w:szCs w:val="20"/>
    </w:rPr>
  </w:style>
  <w:style w:type="character" w:styleId="ParLetteraCarattereCarattere" w:customStyle="1">
    <w:name w:val="Par.Lettera Carattere Carattere"/>
    <w:link w:val="ParLetteraCarattere"/>
    <w:rsid w:val="00355EF7"/>
    <w:rPr>
      <w:rFonts w:ascii="Arial" w:cs="Times New Roman" w:eastAsia="Times New Roman" w:hAnsi="Arial"/>
      <w:sz w:val="20"/>
      <w:szCs w:val="20"/>
      <w:lang w:bidi="ar-SA" w:eastAsia="it-IT"/>
    </w:rPr>
  </w:style>
  <w:style w:type="paragraph" w:styleId="ParLetteraEleStr1" w:customStyle="1">
    <w:name w:val="Par.Lettera Ele.Str.1"/>
    <w:basedOn w:val="Normale"/>
    <w:rsid w:val="00007FCF"/>
    <w:pPr>
      <w:numPr>
        <w:numId w:val="38"/>
      </w:numPr>
      <w:spacing w:after="60" w:before="60" w:line="280" w:lineRule="exact"/>
      <w:jc w:val="both"/>
      <w:outlineLvl w:val="0"/>
    </w:pPr>
    <w:rPr>
      <w:rFonts w:ascii="Arial" w:cs="Times New Roman" w:eastAsia="Times New Roman" w:hAnsi="Arial"/>
      <w:kern w:val="0"/>
      <w:sz w:val="20"/>
      <w:szCs w:val="20"/>
    </w:rPr>
  </w:style>
  <w:style w:type="table" w:styleId="a" w:customStyle="1">
    <w:basedOn w:val="Tabellanormale"/>
    <w:tblPr>
      <w:tblStyleRowBandSize w:val="1"/>
      <w:tblStyleColBandSize w:val="1"/>
      <w:tblCellMar>
        <w:left w:w="115.0" w:type="dxa"/>
        <w:right w:w="115.0" w:type="dxa"/>
      </w:tblCellMar>
    </w:tblPr>
  </w:style>
  <w:style w:type="table" w:styleId="a0" w:customStyle="1">
    <w:basedOn w:val="Tabellanormale"/>
    <w:tblPr>
      <w:tblStyleRowBandSize w:val="1"/>
      <w:tblStyleColBandSize w:val="1"/>
      <w:tblCellMar>
        <w:left w:w="115.0" w:type="dxa"/>
        <w:right w:w="115.0" w:type="dxa"/>
      </w:tblCellMar>
    </w:tblPr>
  </w:style>
  <w:style w:type="table" w:styleId="a1" w:customStyle="1">
    <w:basedOn w:val="Tabellanormale"/>
    <w:rPr>
      <w:rFonts w:ascii="Calibri" w:cs="Calibri" w:eastAsia="Calibri" w:hAnsi="Calibri"/>
      <w:sz w:val="20"/>
      <w:szCs w:val="20"/>
    </w:rPr>
    <w:tblPr>
      <w:tblStyleRowBandSize w:val="1"/>
      <w:tblStyleColBandSize w:val="1"/>
    </w:tblPr>
  </w:style>
  <w:style w:type="table" w:styleId="a2" w:customStyle="1">
    <w:basedOn w:val="Tabellanormale"/>
    <w:rPr>
      <w:rFonts w:ascii="Calibri" w:cs="Calibri" w:eastAsia="Calibri" w:hAnsi="Calibri"/>
      <w:sz w:val="20"/>
      <w:szCs w:val="20"/>
    </w:rPr>
    <w:tblPr>
      <w:tblStyleRowBandSize w:val="1"/>
      <w:tblStyleColBandSize w:val="1"/>
    </w:tblPr>
  </w:style>
  <w:style w:type="table" w:styleId="a3" w:customStyle="1">
    <w:basedOn w:val="Tabellanormale"/>
    <w:rPr>
      <w:rFonts w:ascii="Calibri" w:cs="Calibri" w:eastAsia="Calibri" w:hAnsi="Calibri"/>
      <w:sz w:val="20"/>
      <w:szCs w:val="20"/>
    </w:rPr>
    <w:tblPr>
      <w:tblStyleRowBandSize w:val="1"/>
      <w:tblStyleColBandSize w:val="1"/>
    </w:tblPr>
  </w:style>
  <w:style w:type="table" w:styleId="a4" w:customStyle="1">
    <w:basedOn w:val="Tabellanormale"/>
    <w:rPr>
      <w:rFonts w:ascii="Calibri" w:cs="Calibri" w:eastAsia="Calibri" w:hAnsi="Calibri"/>
      <w:sz w:val="20"/>
      <w:szCs w:val="20"/>
    </w:rPr>
    <w:tblPr>
      <w:tblStyleRowBandSize w:val="1"/>
      <w:tblStyleColBandSize w:val="1"/>
    </w:tblPr>
  </w:style>
  <w:style w:type="table" w:styleId="a5" w:customStyle="1">
    <w:basedOn w:val="Tabellanormale"/>
    <w:rPr>
      <w:rFonts w:ascii="Calibri" w:cs="Calibri" w:eastAsia="Calibri" w:hAnsi="Calibri"/>
      <w:sz w:val="20"/>
      <w:szCs w:val="20"/>
    </w:rPr>
    <w:tblPr>
      <w:tblStyleRowBandSize w:val="1"/>
      <w:tblStyleColBandSize w:val="1"/>
    </w:tblPr>
  </w:style>
  <w:style w:type="table" w:styleId="a6" w:customStyle="1">
    <w:basedOn w:val="Tabellanormale"/>
    <w:rPr>
      <w:rFonts w:ascii="Calibri" w:cs="Calibri" w:eastAsia="Calibri" w:hAnsi="Calibri"/>
      <w:sz w:val="20"/>
      <w:szCs w:val="20"/>
    </w:rPr>
    <w:tblPr>
      <w:tblStyleRowBandSize w:val="1"/>
      <w:tblStyleColBandSize w:val="1"/>
    </w:tblPr>
  </w:style>
  <w:style w:type="table" w:styleId="a7" w:customStyle="1">
    <w:basedOn w:val="Tabellanormale"/>
    <w:rPr>
      <w:rFonts w:ascii="Calibri" w:cs="Calibri" w:eastAsia="Calibri" w:hAnsi="Calibri"/>
      <w:sz w:val="20"/>
      <w:szCs w:val="20"/>
    </w:rPr>
    <w:tblPr>
      <w:tblStyleRowBandSize w:val="1"/>
      <w:tblStyleColBandSize w:val="1"/>
    </w:tblPr>
  </w:style>
  <w:style w:type="table" w:styleId="a8" w:customStyle="1">
    <w:basedOn w:val="Tabellanormale"/>
    <w:rPr>
      <w:rFonts w:ascii="Calibri" w:cs="Calibri" w:eastAsia="Calibri" w:hAnsi="Calibri"/>
      <w:sz w:val="20"/>
      <w:szCs w:val="20"/>
    </w:rPr>
    <w:tblPr>
      <w:tblStyleRowBandSize w:val="1"/>
      <w:tblStyleColBandSize w:val="1"/>
    </w:tblPr>
  </w:style>
  <w:style w:type="table" w:styleId="a9" w:customStyle="1">
    <w:basedOn w:val="Tabellanormale"/>
    <w:rPr>
      <w:rFonts w:ascii="Calibri" w:cs="Calibri" w:eastAsia="Calibri" w:hAnsi="Calibri"/>
      <w:sz w:val="20"/>
      <w:szCs w:val="20"/>
    </w:rPr>
    <w:tblPr>
      <w:tblStyleRowBandSize w:val="1"/>
      <w:tblStyleColBandSize w:val="1"/>
    </w:tblPr>
  </w:style>
  <w:style w:type="table" w:styleId="aa" w:customStyle="1">
    <w:basedOn w:val="Tabellanormale"/>
    <w:tblPr>
      <w:tblStyleRowBandSize w:val="1"/>
      <w:tblStyleColBandSize w:val="1"/>
      <w:tblCellMar>
        <w:top w:w="15.0" w:type="dxa"/>
        <w:left w:w="15.0" w:type="dxa"/>
        <w:bottom w:w="15.0" w:type="dxa"/>
        <w:right w:w="15.0" w:type="dxa"/>
      </w:tblCellMar>
    </w:tblPr>
  </w:style>
  <w:style w:type="table" w:styleId="Grigliatabella1" w:customStyle="1">
    <w:name w:val="Griglia tabella1"/>
    <w:basedOn w:val="Tabellanormale"/>
    <w:next w:val="Grigliatabella"/>
    <w:uiPriority w:val="39"/>
    <w:rsid w:val="00CA6C39"/>
    <w:pPr>
      <w:widowControl w:val="1"/>
    </w:pPr>
    <w:rPr>
      <w:rFonts w:ascii="Calibri"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b"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c"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d"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e"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0"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1"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2"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3"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4"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5"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6"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7"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8"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9"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afa" w:customStyle="1">
    <w:basedOn w:val="TableNormal0"/>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widowControl w:val="1"/>
      <w:spacing w:after="60" w:line="276" w:lineRule="auto"/>
      <w:jc w:val="center"/>
    </w:pPr>
    <w:rPr>
      <w:rFonts w:ascii="Cambria" w:cs="Cambria" w:eastAsia="Cambria" w:hAnsi="Cambria"/>
    </w:rPr>
  </w:style>
  <w:style w:type="table" w:styleId="Table1">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Table2">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Table3">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Table4">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Table5">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Table6">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Table7">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Table8">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Table9">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 w:type="table" w:styleId="Table10">
    <w:basedOn w:val="TableNormal"/>
    <w:pPr>
      <w:widowControl w:val="1"/>
    </w:pPr>
    <w:rPr>
      <w:rFonts w:ascii="Calibri" w:cs="Calibri" w:eastAsia="Calibri" w:hAnsi="Calibri"/>
      <w:sz w:val="20"/>
      <w:szCs w:val="20"/>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bd01.leggiditalia.it/cgi-bin/FulShow?TIPO=5&amp;NOTXT=1&amp;KEY=01LX0000107749ART67" TargetMode="External"/><Relationship Id="rId22" Type="http://schemas.openxmlformats.org/officeDocument/2006/relationships/hyperlink" Target="https://sidraspa.acquistitelematici.it/manuali" TargetMode="External"/><Relationship Id="rId21" Type="http://schemas.openxmlformats.org/officeDocument/2006/relationships/hyperlink" Target="https://sidraspa.acquistitelematici.it/manuali" TargetMode="External"/><Relationship Id="rId24" Type="http://schemas.openxmlformats.org/officeDocument/2006/relationships/hyperlink" Target="https://sidraspa.portaletrasparenza.net/it/trasparenza/disposizioni-generali.html" TargetMode="External"/><Relationship Id="rId23" Type="http://schemas.openxmlformats.org/officeDocument/2006/relationships/hyperlink" Target="https://www.bosettiegatti.eu/info/norme/statali/2023_0036_A_I.htm#I.1_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draspa.acquistitelematici.it/manuali"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draspa.acquistitelematici.it/" TargetMode="External"/><Relationship Id="rId8" Type="http://schemas.openxmlformats.org/officeDocument/2006/relationships/hyperlink" Target="mailto:patrizia.spitaleri@sidraspa.it" TargetMode="External"/><Relationship Id="rId11" Type="http://schemas.openxmlformats.org/officeDocument/2006/relationships/hyperlink" Target="https://sidraspa.acquistitelematici.it/list/tender/procedure-gara" TargetMode="External"/><Relationship Id="rId10" Type="http://schemas.openxmlformats.org/officeDocument/2006/relationships/hyperlink" Target="https://sidraspa.portaletrasparenza.net/it/trasparenza/bandi-di-gara-e-contratti.html" TargetMode="External"/><Relationship Id="rId13" Type="http://schemas.openxmlformats.org/officeDocument/2006/relationships/hyperlink" Target="https://www.bosettiegatti.eu/info/norme/statali/1993_0385.htm#107" TargetMode="External"/><Relationship Id="rId12" Type="http://schemas.openxmlformats.org/officeDocument/2006/relationships/hyperlink" Target="https://sidraspa.acquistitelematici.it" TargetMode="External"/><Relationship Id="rId15" Type="http://schemas.openxmlformats.org/officeDocument/2006/relationships/hyperlink" Target="http://www.bancaditalia.it/compiti/vigilanza/avvisi-pub/garanzie-finanziarie/" TargetMode="External"/><Relationship Id="rId14" Type="http://schemas.openxmlformats.org/officeDocument/2006/relationships/hyperlink" Target="http://www.bancaditalia.it/compiti/vigilanza/intermediari/index.html" TargetMode="External"/><Relationship Id="rId17" Type="http://schemas.openxmlformats.org/officeDocument/2006/relationships/hyperlink" Target="https://www.anticorruzione.it/-/gestione-contributi-gara" TargetMode="External"/><Relationship Id="rId16" Type="http://schemas.openxmlformats.org/officeDocument/2006/relationships/hyperlink" Target="http://www.ivass.it/ivass/imprese_jsp/HomePage.jsp" TargetMode="External"/><Relationship Id="rId19" Type="http://schemas.openxmlformats.org/officeDocument/2006/relationships/hyperlink" Target="https://sidraspa.portaletrasparenza.net/it/trasparenza/disposizioni-generali/atti-generali/codice-di-condotta-e-codice-etico.html" TargetMode="External"/><Relationship Id="rId18" Type="http://schemas.openxmlformats.org/officeDocument/2006/relationships/hyperlink" Target="https://sidraspa.acquistitelematici.i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BookAntiqua-italic.ttf"/><Relationship Id="rId10" Type="http://schemas.openxmlformats.org/officeDocument/2006/relationships/font" Target="fonts/BookAntiqua-bold.ttf"/><Relationship Id="rId13" Type="http://schemas.openxmlformats.org/officeDocument/2006/relationships/font" Target="fonts/NotoSansSymbols-regular.ttf"/><Relationship Id="rId12" Type="http://schemas.openxmlformats.org/officeDocument/2006/relationships/font" Target="fonts/BookAntiqua-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BookAntiqua-regular.ttf"/><Relationship Id="rId15" Type="http://schemas.openxmlformats.org/officeDocument/2006/relationships/font" Target="fonts/CambriaMath-regular.ttf"/><Relationship Id="rId14" Type="http://schemas.openxmlformats.org/officeDocument/2006/relationships/font" Target="fonts/NotoSansSymbols-bold.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nct5wn9e5WoY7L9KXc67BYcxrg==">CgMxLjAyCGguZ2pkZ3hzMg5oLjRwN3J1Y3JtcW02YzIJaC4xZm9iOXRlMgloLjN6bnlzaDcyDWgudzdpN3lxZDl1d3AyCWguMmV0OTJwMDIIaC50eWpjd3QyDmguaGMwd3h0cnNnNm4w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3lnZWJxaTIJaC4xNjY0czU1MgloLjNxNXNhc3kyCWguMW1yY3UwOTIJaC4yNWIybDByMgloLjExMWt4M28yCWguM2wxOGZyaDIJaC4yMDZpcHphMgloLjRrNjY4bjMyCWguMnpiZ2l1dzIJaC4xZWdxdDJwMgloLjJkbG9seWIyCGguc3F5dzY0MgloLjNjcW1ldHgyCWguMXJ2d3AxcTIJaC40YnZrN3BqMgloLjJyMHVoeGM4AHIhMUVUZTlvaUtJdGNUZkN1blZNcUlYUlNLWDJlX1h5Wk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2024-04-03T12:15:00Z</dcterms:created>
  <dc:creator>Gabriella Boninelli</dc:creator>
</cp:coreProperties>
</file>